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4D" w:rsidRPr="003A2F4D" w:rsidRDefault="003A2F4D" w:rsidP="003A2F4D">
      <w:pPr>
        <w:spacing w:line="540" w:lineRule="exact"/>
        <w:jc w:val="center"/>
        <w:rPr>
          <w:rFonts w:ascii="標楷體" w:eastAsia="標楷體" w:hAnsi="標楷體" w:hint="eastAsia"/>
          <w:b/>
          <w:bCs/>
          <w:szCs w:val="32"/>
        </w:rPr>
      </w:pPr>
      <w:r w:rsidRPr="003A2F4D">
        <w:rPr>
          <w:rFonts w:ascii="標楷體" w:eastAsia="標楷體" w:hAnsi="標楷體"/>
          <w:noProof/>
        </w:rPr>
        <w:pict>
          <v:shapetype id="_x0000_t202" coordsize="21600,21600" o:spt="202" path="m,l,21600r21600,l21600,xe">
            <v:stroke joinstyle="miter"/>
            <v:path gradientshapeok="t" o:connecttype="rect"/>
          </v:shapetype>
          <v:shape id="_x0000_s1028" type="#_x0000_t202" style="position:absolute;left:0;text-align:left;margin-left:369.75pt;margin-top:-37.4pt;width:54.95pt;height:26.7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w:txbxContent>
                <w:p w:rsidR="003A2F4D" w:rsidRPr="00407219" w:rsidRDefault="003A2F4D" w:rsidP="003A2F4D">
                  <w:r w:rsidRPr="00407219">
                    <w:rPr>
                      <w:rFonts w:hint="eastAsia"/>
                    </w:rPr>
                    <w:t>附件六</w:t>
                  </w:r>
                </w:p>
              </w:txbxContent>
            </v:textbox>
            <w10:wrap type="square"/>
          </v:shape>
        </w:pict>
      </w:r>
      <w:r w:rsidRPr="003A2F4D">
        <w:rPr>
          <w:rFonts w:ascii="標楷體" w:eastAsia="標楷體" w:hAnsi="標楷體" w:hint="eastAsia"/>
          <w:b/>
          <w:bCs/>
          <w:szCs w:val="32"/>
        </w:rPr>
        <w:t>財團法人公共電視文化事業基金會</w:t>
      </w:r>
    </w:p>
    <w:p w:rsidR="003A2F4D" w:rsidRPr="003A2F4D" w:rsidRDefault="003A2F4D" w:rsidP="003A2F4D">
      <w:pPr>
        <w:spacing w:line="540" w:lineRule="exact"/>
        <w:jc w:val="center"/>
        <w:rPr>
          <w:rFonts w:ascii="標楷體" w:eastAsia="標楷體" w:hAnsi="標楷體" w:hint="eastAsia"/>
          <w:b/>
          <w:bCs/>
          <w:szCs w:val="32"/>
        </w:rPr>
      </w:pPr>
      <w:r w:rsidRPr="003A2F4D">
        <w:rPr>
          <w:rFonts w:ascii="標楷體" w:eastAsia="標楷體" w:hAnsi="標楷體" w:hint="eastAsia"/>
          <w:b/>
          <w:szCs w:val="32"/>
        </w:rPr>
        <w:t>「公廣集團公共價值評量調查研究案」</w:t>
      </w:r>
    </w:p>
    <w:p w:rsidR="003A2F4D" w:rsidRPr="003A2F4D" w:rsidRDefault="003A2F4D" w:rsidP="003A2F4D">
      <w:pPr>
        <w:spacing w:line="540" w:lineRule="exact"/>
        <w:jc w:val="center"/>
        <w:rPr>
          <w:rFonts w:ascii="標楷體" w:eastAsia="標楷體" w:hAnsi="標楷體"/>
          <w:b/>
          <w:bCs/>
          <w:szCs w:val="32"/>
        </w:rPr>
      </w:pPr>
      <w:r w:rsidRPr="003A2F4D">
        <w:rPr>
          <w:rFonts w:ascii="標楷體" w:eastAsia="標楷體" w:hAnsi="標楷體" w:hint="eastAsia"/>
          <w:b/>
          <w:bCs/>
          <w:szCs w:val="32"/>
        </w:rPr>
        <w:t>計</w:t>
      </w:r>
      <w:r w:rsidRPr="003A2F4D">
        <w:rPr>
          <w:rFonts w:ascii="標楷體" w:eastAsia="標楷體" w:hAnsi="標楷體"/>
          <w:b/>
          <w:bCs/>
          <w:szCs w:val="32"/>
        </w:rPr>
        <w:t>畫需求及工作要求</w:t>
      </w:r>
    </w:p>
    <w:p w:rsidR="003A2F4D" w:rsidRPr="003A2F4D" w:rsidRDefault="003A2F4D" w:rsidP="003A2F4D">
      <w:pPr>
        <w:numPr>
          <w:ilvl w:val="0"/>
          <w:numId w:val="39"/>
        </w:numPr>
        <w:tabs>
          <w:tab w:val="clear" w:pos="480"/>
          <w:tab w:val="num" w:pos="567"/>
        </w:tabs>
        <w:adjustRightInd w:val="0"/>
        <w:snapToGrid w:val="0"/>
        <w:spacing w:beforeLines="25" w:before="90" w:afterLines="25" w:after="90" w:line="400" w:lineRule="exact"/>
        <w:jc w:val="both"/>
        <w:rPr>
          <w:rFonts w:ascii="標楷體" w:eastAsia="標楷體" w:hAnsi="標楷體"/>
          <w:sz w:val="28"/>
          <w:szCs w:val="28"/>
        </w:rPr>
      </w:pPr>
      <w:r w:rsidRPr="003A2F4D">
        <w:rPr>
          <w:rFonts w:ascii="標楷體" w:eastAsia="標楷體" w:hAnsi="標楷體"/>
          <w:sz w:val="28"/>
          <w:szCs w:val="28"/>
        </w:rPr>
        <w:t>前言</w:t>
      </w:r>
    </w:p>
    <w:p w:rsidR="003A2F4D" w:rsidRPr="003A2F4D" w:rsidRDefault="003A2F4D" w:rsidP="003A2F4D">
      <w:pPr>
        <w:numPr>
          <w:ilvl w:val="1"/>
          <w:numId w:val="39"/>
        </w:numPr>
        <w:adjustRightInd w:val="0"/>
        <w:snapToGrid w:val="0"/>
        <w:spacing w:beforeLines="25" w:before="90" w:afterLines="25" w:after="90" w:line="400" w:lineRule="exact"/>
        <w:ind w:left="958" w:hanging="602"/>
        <w:jc w:val="both"/>
        <w:rPr>
          <w:rFonts w:ascii="標楷體" w:eastAsia="標楷體" w:hAnsi="標楷體"/>
          <w:sz w:val="28"/>
          <w:szCs w:val="28"/>
        </w:rPr>
      </w:pPr>
      <w:r w:rsidRPr="003A2F4D">
        <w:rPr>
          <w:rFonts w:ascii="標楷體" w:eastAsia="標楷體" w:hAnsi="標楷體"/>
          <w:sz w:val="28"/>
          <w:szCs w:val="28"/>
        </w:rPr>
        <w:t>研究緣起：</w:t>
      </w:r>
    </w:p>
    <w:p w:rsidR="003A2F4D" w:rsidRPr="003A2F4D" w:rsidRDefault="003A2F4D" w:rsidP="003A2F4D">
      <w:pPr>
        <w:snapToGrid w:val="0"/>
        <w:spacing w:line="400" w:lineRule="exact"/>
        <w:ind w:leftChars="310" w:left="744" w:firstLine="1"/>
        <w:jc w:val="both"/>
        <w:rPr>
          <w:rFonts w:ascii="標楷體" w:eastAsia="標楷體" w:hAnsi="標楷體"/>
          <w:sz w:val="28"/>
          <w:szCs w:val="28"/>
        </w:rPr>
      </w:pPr>
      <w:r w:rsidRPr="003A2F4D">
        <w:rPr>
          <w:rFonts w:ascii="標楷體" w:eastAsia="標楷體" w:hAnsi="標楷體" w:hint="eastAsia"/>
          <w:sz w:val="28"/>
          <w:szCs w:val="28"/>
        </w:rPr>
        <w:t>公廣集團為評量所屬之公共電視台、華視、客家電視台是否履行公共價值，特建立具體明確、可衡量的多元評量指標，謹針對觀眾、公民團體、所屬員工進行研究訪查，並搭配次級資料形成報告，以作為內部目標管理與外部說明之依據。</w:t>
      </w:r>
    </w:p>
    <w:p w:rsidR="003A2F4D" w:rsidRPr="003A2F4D" w:rsidRDefault="003A2F4D" w:rsidP="003A2F4D">
      <w:pPr>
        <w:snapToGrid w:val="0"/>
        <w:spacing w:line="400" w:lineRule="exact"/>
        <w:ind w:leftChars="310" w:left="744" w:firstLine="1"/>
        <w:jc w:val="both"/>
        <w:rPr>
          <w:rFonts w:ascii="標楷體" w:eastAsia="標楷體" w:hAnsi="標楷體"/>
          <w:sz w:val="28"/>
          <w:szCs w:val="28"/>
        </w:rPr>
      </w:pPr>
      <w:r w:rsidRPr="003A2F4D">
        <w:rPr>
          <w:rFonts w:ascii="標楷體" w:eastAsia="標楷體" w:hAnsi="標楷體" w:hint="eastAsia"/>
          <w:sz w:val="28"/>
          <w:szCs w:val="28"/>
        </w:rPr>
        <w:t>此項調查自</w:t>
      </w:r>
      <w:r w:rsidRPr="003A2F4D">
        <w:rPr>
          <w:rFonts w:ascii="標楷體" w:eastAsia="標楷體" w:hAnsi="標楷體"/>
          <w:sz w:val="28"/>
          <w:szCs w:val="28"/>
        </w:rPr>
        <w:t>2007年起建立公共價值評量體系，由每屆董事會成立之公共價值評量委員會進行評量，其調查與資料彙整作業則以公開招標方式，委由第三方學術或民調機構執行之。</w:t>
      </w:r>
    </w:p>
    <w:p w:rsidR="003A2F4D" w:rsidRPr="003A2F4D" w:rsidRDefault="003A2F4D" w:rsidP="003A2F4D">
      <w:pPr>
        <w:numPr>
          <w:ilvl w:val="1"/>
          <w:numId w:val="39"/>
        </w:numPr>
        <w:snapToGrid w:val="0"/>
        <w:spacing w:line="400" w:lineRule="exact"/>
        <w:ind w:hanging="676"/>
        <w:jc w:val="both"/>
        <w:rPr>
          <w:rFonts w:ascii="標楷體" w:eastAsia="標楷體" w:hAnsi="標楷體"/>
          <w:sz w:val="28"/>
          <w:szCs w:val="28"/>
        </w:rPr>
      </w:pPr>
      <w:r w:rsidRPr="003A2F4D">
        <w:rPr>
          <w:rFonts w:ascii="標楷體" w:eastAsia="標楷體" w:hAnsi="標楷體"/>
          <w:sz w:val="28"/>
          <w:szCs w:val="28"/>
        </w:rPr>
        <w:t>研究目的：</w:t>
      </w:r>
    </w:p>
    <w:p w:rsidR="003A2F4D" w:rsidRPr="003A2F4D" w:rsidRDefault="003A2F4D" w:rsidP="003A2F4D">
      <w:pPr>
        <w:snapToGrid w:val="0"/>
        <w:spacing w:line="400" w:lineRule="exact"/>
        <w:ind w:left="960"/>
        <w:jc w:val="both"/>
        <w:rPr>
          <w:rFonts w:ascii="標楷體" w:eastAsia="標楷體" w:hAnsi="標楷體"/>
          <w:sz w:val="28"/>
          <w:szCs w:val="28"/>
        </w:rPr>
      </w:pPr>
      <w:r w:rsidRPr="003A2F4D">
        <w:rPr>
          <w:rFonts w:ascii="標楷體" w:eastAsia="標楷體" w:hAnsi="標楷體" w:hint="eastAsia"/>
          <w:sz w:val="28"/>
          <w:szCs w:val="28"/>
        </w:rPr>
        <w:t>本研究將依據公廣集團公共價值評量體系之架構（</w:t>
      </w:r>
      <w:r w:rsidRPr="003A2F4D">
        <w:rPr>
          <w:rFonts w:ascii="標楷體" w:eastAsia="標楷體" w:hAnsi="標楷體" w:hint="eastAsia"/>
          <w:color w:val="FF0000"/>
          <w:sz w:val="28"/>
          <w:szCs w:val="28"/>
        </w:rPr>
        <w:t>詳見附件</w:t>
      </w:r>
      <w:r w:rsidRPr="003A2F4D">
        <w:rPr>
          <w:rFonts w:ascii="標楷體" w:eastAsia="標楷體" w:hAnsi="標楷體" w:hint="eastAsia"/>
          <w:sz w:val="28"/>
          <w:szCs w:val="28"/>
        </w:rPr>
        <w:t>），分別針對觸達、節目品質滿意度、影響力、公共服務、營運效率等五大構面，就各項下指標進行評量。</w:t>
      </w:r>
    </w:p>
    <w:p w:rsidR="003A2F4D" w:rsidRPr="003A2F4D" w:rsidRDefault="003A2F4D" w:rsidP="003A2F4D">
      <w:pPr>
        <w:snapToGrid w:val="0"/>
        <w:spacing w:line="400" w:lineRule="exact"/>
        <w:ind w:left="960"/>
        <w:jc w:val="both"/>
        <w:rPr>
          <w:rFonts w:ascii="標楷體" w:eastAsia="標楷體" w:hAnsi="標楷體" w:hint="eastAsia"/>
          <w:sz w:val="28"/>
          <w:szCs w:val="28"/>
        </w:rPr>
      </w:pPr>
      <w:r w:rsidRPr="003A2F4D">
        <w:rPr>
          <w:rFonts w:ascii="標楷體" w:eastAsia="標楷體" w:hAnsi="標楷體" w:hint="eastAsia"/>
          <w:sz w:val="28"/>
          <w:szCs w:val="28"/>
        </w:rPr>
        <w:t>為使評量結果得昭公信，調查研究部分將委由公正第三人執行，預計將進行公視、華視以及客家電視台之量化調查、質化研究及次級資料分析等，主要目的在於確實瞭解公眾對於公廣集團各台之評價，並且同時彙整公廣集團各台委外研究相關調查結果以及內部具體資料後，以客觀角度評量公廣集團表現，作為對外說明與內部擬定對策之參考。</w:t>
      </w:r>
    </w:p>
    <w:p w:rsidR="003A2F4D" w:rsidRPr="003A2F4D" w:rsidRDefault="003A2F4D" w:rsidP="003A2F4D">
      <w:pPr>
        <w:numPr>
          <w:ilvl w:val="1"/>
          <w:numId w:val="39"/>
        </w:numPr>
        <w:adjustRightInd w:val="0"/>
        <w:snapToGrid w:val="0"/>
        <w:spacing w:beforeLines="25" w:before="90" w:afterLines="25" w:after="90" w:line="400" w:lineRule="exact"/>
        <w:ind w:left="958" w:hanging="602"/>
        <w:jc w:val="both"/>
        <w:rPr>
          <w:rFonts w:ascii="標楷體" w:eastAsia="標楷體" w:hAnsi="標楷體"/>
          <w:sz w:val="28"/>
          <w:szCs w:val="28"/>
        </w:rPr>
      </w:pPr>
      <w:r w:rsidRPr="003A2F4D">
        <w:rPr>
          <w:rFonts w:ascii="標楷體" w:eastAsia="標楷體" w:hAnsi="標楷體" w:hint="eastAsia"/>
          <w:sz w:val="28"/>
          <w:szCs w:val="28"/>
        </w:rPr>
        <w:t>研究</w:t>
      </w:r>
      <w:r w:rsidRPr="003A2F4D">
        <w:rPr>
          <w:rFonts w:ascii="標楷體" w:eastAsia="標楷體" w:hAnsi="標楷體"/>
          <w:sz w:val="28"/>
          <w:szCs w:val="28"/>
        </w:rPr>
        <w:t>服務費：</w:t>
      </w:r>
      <w:r w:rsidRPr="003A2F4D">
        <w:rPr>
          <w:rFonts w:ascii="標楷體" w:eastAsia="標楷體" w:hAnsi="標楷體"/>
          <w:sz w:val="28"/>
        </w:rPr>
        <w:t>本採購</w:t>
      </w:r>
      <w:r w:rsidRPr="003A2F4D">
        <w:rPr>
          <w:rFonts w:ascii="標楷體" w:eastAsia="標楷體" w:hAnsi="標楷體" w:hint="eastAsia"/>
          <w:sz w:val="28"/>
          <w:szCs w:val="28"/>
        </w:rPr>
        <w:t>經費為</w:t>
      </w:r>
      <w:r w:rsidRPr="003A2F4D">
        <w:rPr>
          <w:rFonts w:ascii="標楷體" w:eastAsia="標楷體" w:hAnsi="標楷體"/>
          <w:sz w:val="28"/>
          <w:szCs w:val="28"/>
        </w:rPr>
        <w:t>新臺幣</w:t>
      </w:r>
      <w:r w:rsidRPr="003A2F4D">
        <w:rPr>
          <w:rFonts w:ascii="標楷體" w:eastAsia="標楷體" w:hAnsi="標楷體" w:hint="eastAsia"/>
          <w:sz w:val="28"/>
          <w:szCs w:val="28"/>
        </w:rPr>
        <w:t>1</w:t>
      </w:r>
      <w:r w:rsidRPr="003A2F4D">
        <w:rPr>
          <w:rFonts w:ascii="標楷體" w:eastAsia="標楷體" w:hAnsi="標楷體"/>
          <w:sz w:val="28"/>
          <w:szCs w:val="28"/>
        </w:rPr>
        <w:t>,</w:t>
      </w:r>
      <w:r w:rsidRPr="003A2F4D">
        <w:rPr>
          <w:rFonts w:ascii="標楷體" w:eastAsia="標楷體" w:hAnsi="標楷體" w:hint="eastAsia"/>
          <w:sz w:val="28"/>
          <w:szCs w:val="28"/>
        </w:rPr>
        <w:t>500</w:t>
      </w:r>
      <w:r w:rsidRPr="003A2F4D">
        <w:rPr>
          <w:rFonts w:ascii="標楷體" w:eastAsia="標楷體" w:hAnsi="標楷體"/>
          <w:sz w:val="28"/>
          <w:szCs w:val="28"/>
        </w:rPr>
        <w:t>,000元（含稅），</w:t>
      </w:r>
      <w:r w:rsidRPr="003A2F4D">
        <w:rPr>
          <w:rFonts w:ascii="標楷體" w:eastAsia="標楷體" w:hAnsi="標楷體"/>
          <w:sz w:val="28"/>
        </w:rPr>
        <w:t>採固定金額給付，含問卷設計、調查執行及分析報告，完成報告須影印裝訂30份，並應依本會要求到會簡報，執行完畢後，須作結案報告</w:t>
      </w:r>
      <w:r w:rsidRPr="003A2F4D">
        <w:rPr>
          <w:rFonts w:ascii="標楷體" w:eastAsia="標楷體" w:hAnsi="標楷體" w:hint="eastAsia"/>
          <w:sz w:val="28"/>
        </w:rPr>
        <w:t>等</w:t>
      </w:r>
      <w:r w:rsidRPr="003A2F4D">
        <w:rPr>
          <w:rFonts w:ascii="標楷體" w:eastAsia="標楷體" w:hAnsi="標楷體" w:hint="eastAsia"/>
          <w:sz w:val="28"/>
          <w:szCs w:val="28"/>
          <w:lang w:eastAsia="zh-HK"/>
        </w:rPr>
        <w:t>不另計費</w:t>
      </w:r>
      <w:r w:rsidRPr="003A2F4D">
        <w:rPr>
          <w:rFonts w:ascii="標楷體" w:eastAsia="標楷體" w:hAnsi="標楷體"/>
          <w:sz w:val="28"/>
          <w:szCs w:val="28"/>
        </w:rPr>
        <w:t>。</w:t>
      </w:r>
    </w:p>
    <w:p w:rsidR="003A2F4D" w:rsidRPr="003A2F4D" w:rsidRDefault="003A2F4D" w:rsidP="003A2F4D">
      <w:pPr>
        <w:numPr>
          <w:ilvl w:val="1"/>
          <w:numId w:val="39"/>
        </w:numPr>
        <w:adjustRightInd w:val="0"/>
        <w:snapToGrid w:val="0"/>
        <w:spacing w:beforeLines="25" w:before="90" w:afterLines="25" w:after="90" w:line="400" w:lineRule="exact"/>
        <w:ind w:left="958" w:hanging="602"/>
        <w:jc w:val="both"/>
        <w:rPr>
          <w:rFonts w:ascii="標楷體" w:eastAsia="標楷體" w:hAnsi="標楷體"/>
          <w:sz w:val="28"/>
          <w:szCs w:val="28"/>
        </w:rPr>
      </w:pPr>
      <w:r w:rsidRPr="003A2F4D">
        <w:rPr>
          <w:rFonts w:ascii="標楷體" w:eastAsia="標楷體" w:hAnsi="標楷體"/>
          <w:sz w:val="28"/>
          <w:szCs w:val="28"/>
        </w:rPr>
        <w:t>製作時程：詳『財團法人公共電視文化事業基金會「</w:t>
      </w:r>
      <w:r w:rsidRPr="003A2F4D">
        <w:rPr>
          <w:rFonts w:ascii="標楷體" w:eastAsia="標楷體" w:hAnsi="標楷體" w:hint="eastAsia"/>
          <w:sz w:val="28"/>
          <w:szCs w:val="28"/>
          <w:u w:val="single"/>
        </w:rPr>
        <w:t>2017年度</w:t>
      </w:r>
      <w:r w:rsidRPr="003A2F4D">
        <w:rPr>
          <w:rFonts w:ascii="標楷體" w:eastAsia="標楷體" w:hAnsi="標楷體"/>
          <w:sz w:val="28"/>
          <w:szCs w:val="28"/>
          <w:u w:val="single"/>
        </w:rPr>
        <w:t>公廣集團公共價值評量調查研究</w:t>
      </w:r>
      <w:r w:rsidRPr="003A2F4D">
        <w:rPr>
          <w:rFonts w:ascii="標楷體" w:eastAsia="標楷體" w:hAnsi="標楷體" w:hint="eastAsia"/>
          <w:sz w:val="28"/>
          <w:szCs w:val="28"/>
          <w:u w:val="single"/>
        </w:rPr>
        <w:t>案</w:t>
      </w:r>
      <w:r w:rsidRPr="003A2F4D">
        <w:rPr>
          <w:rFonts w:ascii="標楷體" w:eastAsia="標楷體" w:hAnsi="標楷體"/>
          <w:sz w:val="28"/>
          <w:szCs w:val="28"/>
          <w:u w:val="single"/>
        </w:rPr>
        <w:t>合約書</w:t>
      </w:r>
      <w:r w:rsidRPr="003A2F4D">
        <w:rPr>
          <w:rFonts w:ascii="標楷體" w:eastAsia="標楷體" w:hAnsi="標楷體"/>
          <w:sz w:val="28"/>
          <w:szCs w:val="28"/>
        </w:rPr>
        <w:t>』第</w:t>
      </w:r>
      <w:r w:rsidRPr="003A2F4D">
        <w:rPr>
          <w:rFonts w:ascii="標楷體" w:eastAsia="標楷體" w:hAnsi="標楷體" w:hint="eastAsia"/>
          <w:sz w:val="28"/>
          <w:szCs w:val="28"/>
        </w:rPr>
        <w:t>二</w:t>
      </w:r>
      <w:r w:rsidRPr="003A2F4D">
        <w:rPr>
          <w:rFonts w:ascii="標楷體" w:eastAsia="標楷體" w:hAnsi="標楷體"/>
          <w:sz w:val="28"/>
          <w:szCs w:val="28"/>
        </w:rPr>
        <w:t>條規定。</w:t>
      </w:r>
    </w:p>
    <w:p w:rsidR="003A2F4D" w:rsidRPr="003A2F4D" w:rsidRDefault="003A2F4D" w:rsidP="003A2F4D">
      <w:p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sz w:val="28"/>
          <w:szCs w:val="28"/>
        </w:rPr>
        <w:t>貳、</w:t>
      </w:r>
      <w:r w:rsidRPr="003A2F4D">
        <w:rPr>
          <w:rFonts w:ascii="標楷體" w:eastAsia="標楷體" w:hAnsi="標楷體" w:hint="eastAsia"/>
          <w:sz w:val="28"/>
          <w:szCs w:val="28"/>
        </w:rPr>
        <w:t>計</w:t>
      </w:r>
      <w:r w:rsidRPr="003A2F4D">
        <w:rPr>
          <w:rFonts w:ascii="標楷體" w:eastAsia="標楷體" w:hAnsi="標楷體"/>
          <w:sz w:val="28"/>
          <w:szCs w:val="28"/>
        </w:rPr>
        <w:t>畫書</w:t>
      </w:r>
      <w:r w:rsidRPr="003A2F4D">
        <w:rPr>
          <w:rFonts w:ascii="標楷體" w:eastAsia="標楷體" w:hAnsi="標楷體" w:hint="eastAsia"/>
          <w:sz w:val="28"/>
          <w:szCs w:val="28"/>
        </w:rPr>
        <w:t>份數、</w:t>
      </w:r>
      <w:r w:rsidRPr="003A2F4D">
        <w:rPr>
          <w:rFonts w:ascii="標楷體" w:eastAsia="標楷體" w:hAnsi="標楷體"/>
          <w:sz w:val="28"/>
          <w:szCs w:val="28"/>
        </w:rPr>
        <w:t>撰寫格式及內容</w:t>
      </w:r>
    </w:p>
    <w:p w:rsidR="003A2F4D" w:rsidRPr="003A2F4D" w:rsidRDefault="003A2F4D" w:rsidP="003A2F4D">
      <w:pPr>
        <w:numPr>
          <w:ilvl w:val="0"/>
          <w:numId w:val="40"/>
        </w:numPr>
        <w:tabs>
          <w:tab w:val="left" w:pos="567"/>
          <w:tab w:val="num" w:pos="851"/>
        </w:tabs>
        <w:adjustRightInd w:val="0"/>
        <w:snapToGrid w:val="0"/>
        <w:spacing w:beforeLines="25" w:before="90" w:afterLines="25" w:after="90" w:line="400" w:lineRule="exact"/>
        <w:ind w:left="1276" w:hanging="709"/>
        <w:jc w:val="both"/>
        <w:rPr>
          <w:rFonts w:ascii="標楷體" w:eastAsia="標楷體" w:hAnsi="標楷體"/>
          <w:sz w:val="28"/>
          <w:szCs w:val="28"/>
        </w:rPr>
      </w:pPr>
      <w:r w:rsidRPr="003A2F4D">
        <w:rPr>
          <w:rFonts w:ascii="標楷體" w:eastAsia="標楷體" w:hAnsi="標楷體" w:hint="eastAsia"/>
          <w:sz w:val="28"/>
          <w:szCs w:val="28"/>
        </w:rPr>
        <w:t>計</w:t>
      </w:r>
      <w:r w:rsidRPr="003A2F4D">
        <w:rPr>
          <w:rFonts w:ascii="標楷體" w:eastAsia="標楷體" w:hAnsi="標楷體"/>
          <w:sz w:val="28"/>
          <w:szCs w:val="28"/>
        </w:rPr>
        <w:t>畫書</w:t>
      </w:r>
      <w:r w:rsidRPr="003A2F4D">
        <w:rPr>
          <w:rFonts w:ascii="標楷體" w:eastAsia="標楷體" w:hAnsi="標楷體" w:hint="eastAsia"/>
          <w:sz w:val="28"/>
          <w:szCs w:val="28"/>
        </w:rPr>
        <w:t>份數、</w:t>
      </w:r>
      <w:r w:rsidRPr="003A2F4D">
        <w:rPr>
          <w:rFonts w:ascii="標楷體" w:eastAsia="標楷體" w:hAnsi="標楷體"/>
          <w:sz w:val="28"/>
          <w:szCs w:val="28"/>
        </w:rPr>
        <w:t>撰寫格式</w:t>
      </w:r>
    </w:p>
    <w:p w:rsidR="003A2F4D" w:rsidRPr="003A2F4D" w:rsidRDefault="003A2F4D" w:rsidP="003A2F4D">
      <w:pPr>
        <w:adjustRightInd w:val="0"/>
        <w:snapToGrid w:val="0"/>
        <w:spacing w:beforeLines="25" w:before="90" w:afterLines="25" w:after="90" w:line="400" w:lineRule="exact"/>
        <w:ind w:leftChars="177" w:left="1133" w:hangingChars="253" w:hanging="708"/>
        <w:jc w:val="both"/>
        <w:rPr>
          <w:rFonts w:ascii="標楷體" w:eastAsia="標楷體" w:hAnsi="標楷體"/>
          <w:sz w:val="28"/>
          <w:szCs w:val="28"/>
        </w:rPr>
      </w:pPr>
      <w:r w:rsidRPr="003A2F4D">
        <w:rPr>
          <w:rFonts w:ascii="標楷體" w:eastAsia="標楷體" w:hAnsi="標楷體"/>
          <w:sz w:val="28"/>
          <w:szCs w:val="28"/>
        </w:rPr>
        <w:t>（一）、投標廠商須自行準備</w:t>
      </w:r>
      <w:r w:rsidRPr="003A2F4D">
        <w:rPr>
          <w:rFonts w:ascii="標楷體" w:eastAsia="標楷體" w:hAnsi="標楷體" w:hint="eastAsia"/>
          <w:sz w:val="28"/>
          <w:szCs w:val="28"/>
        </w:rPr>
        <w:t>計</w:t>
      </w:r>
      <w:r w:rsidRPr="003A2F4D">
        <w:rPr>
          <w:rFonts w:ascii="標楷體" w:eastAsia="標楷體" w:hAnsi="標楷體"/>
          <w:sz w:val="28"/>
          <w:szCs w:val="28"/>
        </w:rPr>
        <w:t>畫書之「外標」信封，並註明「評選資料」字樣。「評選資料」應裝入</w:t>
      </w:r>
      <w:r w:rsidRPr="003A2F4D">
        <w:rPr>
          <w:rFonts w:ascii="標楷體" w:eastAsia="標楷體" w:hAnsi="標楷體" w:hint="eastAsia"/>
          <w:sz w:val="28"/>
          <w:szCs w:val="28"/>
        </w:rPr>
        <w:t>計</w:t>
      </w:r>
      <w:r w:rsidRPr="003A2F4D">
        <w:rPr>
          <w:rFonts w:ascii="標楷體" w:eastAsia="標楷體" w:hAnsi="標楷體"/>
          <w:sz w:val="28"/>
          <w:szCs w:val="28"/>
        </w:rPr>
        <w:t>畫書1式15份，宜由左至右橫</w:t>
      </w:r>
      <w:r w:rsidRPr="003A2F4D">
        <w:rPr>
          <w:rFonts w:ascii="標楷體" w:eastAsia="標楷體" w:hAnsi="標楷體"/>
          <w:sz w:val="28"/>
          <w:szCs w:val="28"/>
        </w:rPr>
        <w:lastRenderedPageBreak/>
        <w:t>寫，以A4大小紙張、12至20號字繕打，並加封面</w:t>
      </w:r>
      <w:r w:rsidRPr="003A2F4D">
        <w:rPr>
          <w:rFonts w:ascii="標楷體" w:eastAsia="標楷體" w:hAnsi="標楷體" w:hint="eastAsia"/>
          <w:sz w:val="28"/>
          <w:szCs w:val="28"/>
        </w:rPr>
        <w:t>(應加註</w:t>
      </w:r>
      <w:r w:rsidRPr="003A2F4D">
        <w:rPr>
          <w:rFonts w:ascii="標楷體" w:eastAsia="標楷體" w:hAnsi="標楷體"/>
          <w:sz w:val="28"/>
          <w:szCs w:val="28"/>
        </w:rPr>
        <w:t>財團法人公共電視文化事業基金會「公廣集團公共價值評量體系調查研究」採購案</w:t>
      </w:r>
      <w:r w:rsidRPr="003A2F4D">
        <w:rPr>
          <w:rFonts w:ascii="標楷體" w:eastAsia="標楷體" w:hAnsi="標楷體" w:hint="eastAsia"/>
          <w:sz w:val="28"/>
          <w:szCs w:val="28"/>
        </w:rPr>
        <w:t>計畫</w:t>
      </w:r>
      <w:r w:rsidRPr="003A2F4D">
        <w:rPr>
          <w:rFonts w:ascii="標楷體" w:eastAsia="標楷體" w:hAnsi="標楷體"/>
          <w:sz w:val="28"/>
          <w:szCs w:val="28"/>
        </w:rPr>
        <w:t>書</w:t>
      </w:r>
      <w:r w:rsidRPr="003A2F4D">
        <w:rPr>
          <w:rFonts w:ascii="標楷體" w:eastAsia="標楷體" w:hAnsi="標楷體" w:hint="eastAsia"/>
          <w:sz w:val="28"/>
          <w:szCs w:val="28"/>
        </w:rPr>
        <w:t>)</w:t>
      </w:r>
      <w:r w:rsidRPr="003A2F4D">
        <w:rPr>
          <w:rFonts w:ascii="標楷體" w:eastAsia="標楷體" w:hAnsi="標楷體"/>
          <w:sz w:val="28"/>
          <w:szCs w:val="28"/>
        </w:rPr>
        <w:t>、目錄、頁碼，且裝訂成冊（雙面印刷及使用非塑膠材質裝訂者尤佳）如有調查結構、研究流程等相關內容時，可改用其他規格摺疊為A4大小。</w:t>
      </w:r>
      <w:r w:rsidRPr="003A2F4D">
        <w:rPr>
          <w:rFonts w:ascii="標楷體" w:eastAsia="標楷體" w:hAnsi="標楷體" w:hint="eastAsia"/>
          <w:sz w:val="28"/>
          <w:szCs w:val="28"/>
        </w:rPr>
        <w:t>另</w:t>
      </w:r>
      <w:r w:rsidRPr="003A2F4D">
        <w:rPr>
          <w:rFonts w:ascii="標楷體" w:eastAsia="標楷體" w:hAnsi="標楷體"/>
          <w:sz w:val="28"/>
          <w:szCs w:val="28"/>
        </w:rPr>
        <w:t>彩色或黑白印刷不拘，以能表現內容為原則。</w:t>
      </w:r>
    </w:p>
    <w:p w:rsidR="003A2F4D" w:rsidRPr="003A2F4D" w:rsidRDefault="003A2F4D" w:rsidP="003A2F4D">
      <w:pPr>
        <w:adjustRightInd w:val="0"/>
        <w:snapToGrid w:val="0"/>
        <w:spacing w:beforeLines="25" w:before="90" w:afterLines="25" w:after="90" w:line="400" w:lineRule="exact"/>
        <w:ind w:leftChars="177" w:left="1133" w:hangingChars="253" w:hanging="708"/>
        <w:jc w:val="both"/>
        <w:rPr>
          <w:rFonts w:ascii="標楷體" w:eastAsia="標楷體" w:hAnsi="標楷體" w:hint="eastAsia"/>
          <w:sz w:val="28"/>
          <w:szCs w:val="28"/>
        </w:rPr>
      </w:pPr>
      <w:r w:rsidRPr="003A2F4D">
        <w:rPr>
          <w:rFonts w:ascii="標楷體" w:eastAsia="標楷體" w:hAnsi="標楷體"/>
          <w:sz w:val="28"/>
          <w:szCs w:val="28"/>
        </w:rPr>
        <w:t>（二）、</w:t>
      </w:r>
      <w:r w:rsidRPr="003A2F4D">
        <w:rPr>
          <w:rFonts w:ascii="標楷體" w:eastAsia="標楷體" w:hAnsi="標楷體" w:hint="eastAsia"/>
          <w:sz w:val="28"/>
          <w:szCs w:val="28"/>
        </w:rPr>
        <w:t>計畫</w:t>
      </w:r>
      <w:r w:rsidRPr="003A2F4D">
        <w:rPr>
          <w:rFonts w:ascii="標楷體" w:eastAsia="標楷體" w:hAnsi="標楷體"/>
          <w:sz w:val="28"/>
          <w:szCs w:val="28"/>
        </w:rPr>
        <w:t>書內容（應包含下列各款內容）：</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rPr>
      </w:pPr>
      <w:r w:rsidRPr="003A2F4D">
        <w:rPr>
          <w:rFonts w:ascii="標楷體" w:eastAsia="標楷體" w:hAnsi="標楷體"/>
        </w:rPr>
        <w:t>研究背景與目的。</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szCs w:val="28"/>
        </w:rPr>
      </w:pPr>
      <w:r w:rsidRPr="003A2F4D">
        <w:rPr>
          <w:rFonts w:ascii="標楷體" w:eastAsia="標楷體" w:hAnsi="標楷體"/>
          <w:szCs w:val="28"/>
        </w:rPr>
        <w:t>研究項目與時程。</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szCs w:val="28"/>
        </w:rPr>
      </w:pPr>
      <w:r w:rsidRPr="003A2F4D">
        <w:rPr>
          <w:rFonts w:ascii="標楷體" w:eastAsia="標楷體" w:hAnsi="標楷體"/>
        </w:rPr>
        <w:t>研究方法與研究步驟</w:t>
      </w:r>
      <w:r w:rsidRPr="003A2F4D">
        <w:rPr>
          <w:rFonts w:ascii="標楷體" w:eastAsia="標楷體" w:hAnsi="標楷體" w:hint="eastAsia"/>
        </w:rPr>
        <w:t>(請明述量化</w:t>
      </w:r>
      <w:r w:rsidRPr="003A2F4D">
        <w:rPr>
          <w:rFonts w:ascii="標楷體" w:eastAsia="標楷體" w:hAnsi="標楷體"/>
        </w:rPr>
        <w:t>、</w:t>
      </w:r>
      <w:r w:rsidRPr="003A2F4D">
        <w:rPr>
          <w:rFonts w:ascii="標楷體" w:eastAsia="標楷體" w:hAnsi="標楷體" w:hint="eastAsia"/>
        </w:rPr>
        <w:t>質化與次級資料分析之方法)</w:t>
      </w:r>
      <w:r w:rsidRPr="003A2F4D">
        <w:rPr>
          <w:rFonts w:ascii="標楷體" w:eastAsia="標楷體" w:hAnsi="標楷體"/>
        </w:rPr>
        <w:t>。</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szCs w:val="28"/>
        </w:rPr>
      </w:pPr>
      <w:r w:rsidRPr="003A2F4D">
        <w:rPr>
          <w:rFonts w:ascii="標楷體" w:eastAsia="標楷體" w:hAnsi="標楷體"/>
          <w:szCs w:val="28"/>
        </w:rPr>
        <w:t>問卷設計</w:t>
      </w:r>
      <w:r w:rsidRPr="003A2F4D">
        <w:rPr>
          <w:rFonts w:ascii="標楷體" w:eastAsia="標楷體" w:hAnsi="標楷體" w:hint="eastAsia"/>
          <w:szCs w:val="28"/>
        </w:rPr>
        <w:t>(含焦點團體座談題綱)</w:t>
      </w:r>
      <w:r w:rsidRPr="003A2F4D">
        <w:rPr>
          <w:rFonts w:ascii="標楷體" w:eastAsia="標楷體" w:hAnsi="標楷體"/>
          <w:szCs w:val="28"/>
        </w:rPr>
        <w:t>。</w:t>
      </w:r>
    </w:p>
    <w:p w:rsidR="003A2F4D" w:rsidRPr="003A2F4D" w:rsidRDefault="003A2F4D" w:rsidP="003A2F4D">
      <w:pPr>
        <w:pStyle w:val="af3"/>
        <w:numPr>
          <w:ilvl w:val="0"/>
          <w:numId w:val="41"/>
        </w:numPr>
        <w:tabs>
          <w:tab w:val="clear" w:pos="360"/>
          <w:tab w:val="num" w:pos="284"/>
          <w:tab w:val="left" w:pos="1701"/>
        </w:tabs>
        <w:adjustRightInd w:val="0"/>
        <w:snapToGrid w:val="0"/>
        <w:spacing w:beforeLines="25" w:before="90" w:afterLines="25" w:after="90" w:line="400" w:lineRule="exact"/>
        <w:ind w:leftChars="355" w:left="1275" w:hangingChars="151" w:hanging="423"/>
        <w:jc w:val="both"/>
        <w:rPr>
          <w:rFonts w:ascii="標楷體" w:eastAsia="標楷體" w:hAnsi="標楷體" w:hint="eastAsia"/>
          <w:szCs w:val="28"/>
        </w:rPr>
      </w:pPr>
      <w:r w:rsidRPr="003A2F4D">
        <w:rPr>
          <w:rFonts w:ascii="標楷體" w:eastAsia="標楷體" w:hAnsi="標楷體"/>
        </w:rPr>
        <w:t>分工及人力配置（請明述量化調查、質化研究、總結報告之撰寫）。</w:t>
      </w:r>
    </w:p>
    <w:p w:rsidR="003A2F4D" w:rsidRPr="003A2F4D" w:rsidRDefault="003A2F4D" w:rsidP="003A2F4D">
      <w:pPr>
        <w:pStyle w:val="af3"/>
        <w:numPr>
          <w:ilvl w:val="0"/>
          <w:numId w:val="41"/>
        </w:numPr>
        <w:tabs>
          <w:tab w:val="clear" w:pos="360"/>
          <w:tab w:val="num" w:pos="284"/>
          <w:tab w:val="left" w:pos="1701"/>
        </w:tabs>
        <w:adjustRightInd w:val="0"/>
        <w:snapToGrid w:val="0"/>
        <w:spacing w:beforeLines="25" w:before="90" w:afterLines="25" w:after="90" w:line="400" w:lineRule="exact"/>
        <w:ind w:leftChars="355" w:left="1275" w:hangingChars="151" w:hanging="423"/>
        <w:jc w:val="both"/>
        <w:rPr>
          <w:rFonts w:ascii="標楷體" w:eastAsia="標楷體" w:hAnsi="標楷體"/>
          <w:szCs w:val="28"/>
        </w:rPr>
      </w:pPr>
      <w:r w:rsidRPr="003A2F4D">
        <w:rPr>
          <w:rFonts w:ascii="標楷體" w:eastAsia="標楷體" w:hAnsi="標楷體" w:hint="eastAsia"/>
          <w:szCs w:val="28"/>
        </w:rPr>
        <w:t>研究</w:t>
      </w:r>
      <w:r w:rsidRPr="003A2F4D">
        <w:rPr>
          <w:rFonts w:ascii="標楷體" w:eastAsia="標楷體" w:hAnsi="標楷體"/>
          <w:szCs w:val="28"/>
        </w:rPr>
        <w:t>服務費</w:t>
      </w:r>
      <w:r w:rsidRPr="003A2F4D">
        <w:rPr>
          <w:rFonts w:ascii="標楷體" w:eastAsia="標楷體" w:hAnsi="標楷體" w:hint="eastAsia"/>
          <w:szCs w:val="28"/>
        </w:rPr>
        <w:t>明細</w:t>
      </w:r>
      <w:r w:rsidRPr="003A2F4D">
        <w:rPr>
          <w:rFonts w:ascii="標楷體" w:eastAsia="標楷體" w:hAnsi="標楷體"/>
        </w:rPr>
        <w:t>：請分項逐一就支出項目、數量、單價、稅金及總價詳列經費</w:t>
      </w:r>
      <w:r w:rsidRPr="003A2F4D">
        <w:rPr>
          <w:rFonts w:ascii="標楷體" w:eastAsia="標楷體" w:hAnsi="標楷體" w:hint="eastAsia"/>
        </w:rPr>
        <w:t>配置</w:t>
      </w:r>
      <w:r w:rsidRPr="003A2F4D">
        <w:rPr>
          <w:rFonts w:ascii="標楷體" w:eastAsia="標楷體" w:hAnsi="標楷體"/>
        </w:rPr>
        <w:t>明細表，報價應含利潤、稅</w:t>
      </w:r>
      <w:r w:rsidRPr="003A2F4D">
        <w:rPr>
          <w:rFonts w:ascii="標楷體" w:eastAsia="標楷體" w:hAnsi="標楷體"/>
          <w:szCs w:val="28"/>
        </w:rPr>
        <w:t>捐等一切</w:t>
      </w:r>
      <w:r w:rsidRPr="003A2F4D">
        <w:rPr>
          <w:rFonts w:ascii="標楷體" w:eastAsia="標楷體" w:hAnsi="標楷體" w:hint="eastAsia"/>
          <w:szCs w:val="28"/>
        </w:rPr>
        <w:t>所需經</w:t>
      </w:r>
      <w:r w:rsidRPr="003A2F4D">
        <w:rPr>
          <w:rFonts w:ascii="標楷體" w:eastAsia="標楷體" w:hAnsi="標楷體"/>
          <w:szCs w:val="28"/>
        </w:rPr>
        <w:t>費。</w:t>
      </w:r>
      <w:r w:rsidRPr="003A2F4D">
        <w:rPr>
          <w:rFonts w:ascii="標楷體" w:eastAsia="標楷體" w:hAnsi="標楷體"/>
        </w:rPr>
        <w:t>廠商</w:t>
      </w:r>
      <w:r w:rsidRPr="003A2F4D">
        <w:rPr>
          <w:rFonts w:ascii="標楷體" w:eastAsia="標楷體" w:hAnsi="標楷體" w:hint="eastAsia"/>
        </w:rPr>
        <w:t>之</w:t>
      </w:r>
      <w:r w:rsidRPr="003A2F4D">
        <w:rPr>
          <w:rFonts w:ascii="標楷體" w:eastAsia="標楷體" w:hAnsi="標楷體"/>
        </w:rPr>
        <w:t>經費</w:t>
      </w:r>
      <w:r w:rsidRPr="003A2F4D">
        <w:rPr>
          <w:rFonts w:ascii="標楷體" w:eastAsia="標楷體" w:hAnsi="標楷體" w:hint="eastAsia"/>
        </w:rPr>
        <w:t>配置</w:t>
      </w:r>
      <w:r w:rsidRPr="003A2F4D">
        <w:rPr>
          <w:rFonts w:ascii="標楷體" w:eastAsia="標楷體" w:hAnsi="標楷體"/>
        </w:rPr>
        <w:t>明細表</w:t>
      </w:r>
      <w:r w:rsidRPr="003A2F4D">
        <w:rPr>
          <w:rFonts w:ascii="標楷體" w:eastAsia="標楷體" w:hAnsi="標楷體" w:hint="eastAsia"/>
        </w:rPr>
        <w:t>總金額</w:t>
      </w:r>
      <w:r w:rsidRPr="003A2F4D">
        <w:rPr>
          <w:rFonts w:ascii="標楷體" w:eastAsia="標楷體" w:hAnsi="標楷體"/>
        </w:rPr>
        <w:t>低於新</w:t>
      </w:r>
      <w:r w:rsidRPr="003A2F4D">
        <w:rPr>
          <w:rFonts w:ascii="標楷體" w:eastAsia="標楷體" w:hAnsi="標楷體" w:hint="eastAsia"/>
        </w:rPr>
        <w:t>台幣1</w:t>
      </w:r>
      <w:r w:rsidRPr="003A2F4D">
        <w:rPr>
          <w:rFonts w:ascii="標楷體" w:eastAsia="標楷體" w:hAnsi="標楷體"/>
        </w:rPr>
        <w:t>,</w:t>
      </w:r>
      <w:r w:rsidRPr="003A2F4D">
        <w:rPr>
          <w:rFonts w:ascii="標楷體" w:eastAsia="標楷體" w:hAnsi="標楷體" w:hint="eastAsia"/>
        </w:rPr>
        <w:t xml:space="preserve"> 5</w:t>
      </w:r>
      <w:r w:rsidRPr="003A2F4D">
        <w:rPr>
          <w:rFonts w:ascii="標楷體" w:eastAsia="標楷體" w:hAnsi="標楷體"/>
        </w:rPr>
        <w:t>00,000元</w:t>
      </w:r>
      <w:r w:rsidRPr="003A2F4D">
        <w:rPr>
          <w:rFonts w:ascii="標楷體" w:eastAsia="標楷體" w:hAnsi="標楷體"/>
          <w:szCs w:val="28"/>
        </w:rPr>
        <w:t>（含稅）</w:t>
      </w:r>
      <w:r w:rsidRPr="003A2F4D">
        <w:rPr>
          <w:rFonts w:ascii="標楷體" w:eastAsia="標楷體" w:hAnsi="標楷體"/>
        </w:rPr>
        <w:t>時，依廠商報價給付</w:t>
      </w:r>
      <w:r w:rsidRPr="003A2F4D">
        <w:rPr>
          <w:rFonts w:ascii="標楷體" w:eastAsia="標楷體" w:hAnsi="標楷體" w:hint="eastAsia"/>
        </w:rPr>
        <w:t>（</w:t>
      </w:r>
      <w:r w:rsidRPr="003A2F4D">
        <w:rPr>
          <w:rFonts w:ascii="標楷體" w:eastAsia="標楷體" w:hAnsi="標楷體"/>
          <w:b/>
          <w:szCs w:val="28"/>
        </w:rPr>
        <w:t>請註明「自願減價」字樣；未註明者亦視同自願減價</w:t>
      </w:r>
      <w:r w:rsidRPr="003A2F4D">
        <w:rPr>
          <w:rFonts w:ascii="標楷體" w:eastAsia="標楷體" w:hAnsi="標楷體" w:hint="eastAsia"/>
          <w:szCs w:val="28"/>
        </w:rPr>
        <w:t>）</w:t>
      </w:r>
      <w:r w:rsidRPr="003A2F4D">
        <w:rPr>
          <w:rFonts w:ascii="標楷體" w:eastAsia="標楷體" w:hAnsi="標楷體"/>
        </w:rPr>
        <w:t>；若廠商</w:t>
      </w:r>
      <w:r w:rsidRPr="003A2F4D">
        <w:rPr>
          <w:rFonts w:ascii="標楷體" w:eastAsia="標楷體" w:hAnsi="標楷體" w:hint="eastAsia"/>
        </w:rPr>
        <w:t>之</w:t>
      </w:r>
      <w:r w:rsidRPr="003A2F4D">
        <w:rPr>
          <w:rFonts w:ascii="標楷體" w:eastAsia="標楷體" w:hAnsi="標楷體"/>
        </w:rPr>
        <w:t>經費</w:t>
      </w:r>
      <w:r w:rsidRPr="003A2F4D">
        <w:rPr>
          <w:rFonts w:ascii="標楷體" w:eastAsia="標楷體" w:hAnsi="標楷體" w:hint="eastAsia"/>
        </w:rPr>
        <w:t>配置</w:t>
      </w:r>
      <w:r w:rsidRPr="003A2F4D">
        <w:rPr>
          <w:rFonts w:ascii="標楷體" w:eastAsia="標楷體" w:hAnsi="標楷體"/>
        </w:rPr>
        <w:t>明細表</w:t>
      </w:r>
      <w:r w:rsidRPr="003A2F4D">
        <w:rPr>
          <w:rFonts w:ascii="標楷體" w:eastAsia="標楷體" w:hAnsi="標楷體" w:hint="eastAsia"/>
        </w:rPr>
        <w:t>總金額高於</w:t>
      </w:r>
      <w:r w:rsidRPr="003A2F4D">
        <w:rPr>
          <w:rFonts w:ascii="標楷體" w:eastAsia="標楷體" w:hAnsi="標楷體"/>
        </w:rPr>
        <w:t>新臺幣</w:t>
      </w:r>
      <w:r w:rsidRPr="003A2F4D">
        <w:rPr>
          <w:rFonts w:ascii="標楷體" w:eastAsia="標楷體" w:hAnsi="標楷體" w:hint="eastAsia"/>
        </w:rPr>
        <w:t>1</w:t>
      </w:r>
      <w:r w:rsidRPr="003A2F4D">
        <w:rPr>
          <w:rFonts w:ascii="標楷體" w:eastAsia="標楷體" w:hAnsi="標楷體"/>
        </w:rPr>
        <w:t>,</w:t>
      </w:r>
      <w:r w:rsidRPr="003A2F4D">
        <w:rPr>
          <w:rFonts w:ascii="標楷體" w:eastAsia="標楷體" w:hAnsi="標楷體" w:hint="eastAsia"/>
        </w:rPr>
        <w:t>5</w:t>
      </w:r>
      <w:r w:rsidRPr="003A2F4D">
        <w:rPr>
          <w:rFonts w:ascii="標楷體" w:eastAsia="標楷體" w:hAnsi="標楷體"/>
        </w:rPr>
        <w:t>00,000元</w:t>
      </w:r>
      <w:r w:rsidRPr="003A2F4D">
        <w:rPr>
          <w:rFonts w:ascii="標楷體" w:eastAsia="標楷體" w:hAnsi="標楷體"/>
          <w:szCs w:val="28"/>
        </w:rPr>
        <w:t>（含稅）</w:t>
      </w:r>
      <w:r w:rsidRPr="003A2F4D">
        <w:rPr>
          <w:rFonts w:ascii="標楷體" w:eastAsia="標楷體" w:hAnsi="標楷體"/>
        </w:rPr>
        <w:t>，</w:t>
      </w:r>
      <w:r w:rsidRPr="003A2F4D">
        <w:rPr>
          <w:rFonts w:ascii="標楷體" w:eastAsia="標楷體" w:hAnsi="標楷體" w:hint="eastAsia"/>
        </w:rPr>
        <w:t>則為不合格標，不列為評選對象</w:t>
      </w:r>
      <w:r w:rsidRPr="003A2F4D">
        <w:rPr>
          <w:rFonts w:ascii="標楷體" w:eastAsia="標楷體" w:hAnsi="標楷體"/>
        </w:rPr>
        <w:t>。</w:t>
      </w:r>
      <w:r w:rsidRPr="003A2F4D">
        <w:rPr>
          <w:rFonts w:ascii="標楷體" w:eastAsia="標楷體" w:hAnsi="標楷體"/>
          <w:szCs w:val="28"/>
        </w:rPr>
        <w:t>。</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rPr>
      </w:pPr>
      <w:r w:rsidRPr="003A2F4D">
        <w:rPr>
          <w:rFonts w:ascii="標楷體" w:eastAsia="標楷體" w:hAnsi="標楷體"/>
        </w:rPr>
        <w:t>預期成果</w:t>
      </w:r>
      <w:r w:rsidRPr="003A2F4D">
        <w:rPr>
          <w:rFonts w:ascii="標楷體" w:eastAsia="標楷體" w:hAnsi="標楷體" w:hint="eastAsia"/>
        </w:rPr>
        <w:t>。</w:t>
      </w:r>
    </w:p>
    <w:p w:rsidR="003A2F4D" w:rsidRPr="003A2F4D" w:rsidRDefault="003A2F4D" w:rsidP="003A2F4D">
      <w:pPr>
        <w:pStyle w:val="af3"/>
        <w:numPr>
          <w:ilvl w:val="0"/>
          <w:numId w:val="41"/>
        </w:numPr>
        <w:tabs>
          <w:tab w:val="clear" w:pos="360"/>
          <w:tab w:val="num" w:pos="1701"/>
        </w:tabs>
        <w:spacing w:line="400" w:lineRule="exact"/>
        <w:ind w:left="906" w:hanging="426"/>
        <w:jc w:val="both"/>
        <w:rPr>
          <w:rFonts w:ascii="標楷體" w:eastAsia="標楷體" w:hAnsi="標楷體"/>
        </w:rPr>
      </w:pPr>
      <w:r w:rsidRPr="003A2F4D">
        <w:rPr>
          <w:rFonts w:ascii="標楷體" w:eastAsia="標楷體" w:hAnsi="標楷體"/>
        </w:rPr>
        <w:t>研究團隊（請明述研究調查小組組成、人員素質、經驗及實績以及實際參與本案的顧問群）。</w:t>
      </w:r>
    </w:p>
    <w:p w:rsidR="003A2F4D" w:rsidRPr="003A2F4D" w:rsidRDefault="003A2F4D" w:rsidP="003A2F4D">
      <w:pPr>
        <w:pStyle w:val="af3"/>
        <w:numPr>
          <w:ilvl w:val="0"/>
          <w:numId w:val="41"/>
        </w:numPr>
        <w:tabs>
          <w:tab w:val="clear" w:pos="360"/>
          <w:tab w:val="num" w:pos="1701"/>
        </w:tabs>
        <w:spacing w:line="400" w:lineRule="exact"/>
        <w:ind w:left="906" w:hanging="426"/>
        <w:jc w:val="both"/>
        <w:rPr>
          <w:rFonts w:ascii="標楷體" w:eastAsia="標楷體" w:hAnsi="標楷體"/>
        </w:rPr>
      </w:pPr>
      <w:r w:rsidRPr="003A2F4D">
        <w:rPr>
          <w:rFonts w:ascii="標楷體" w:eastAsia="標楷體" w:hAnsi="標楷體"/>
          <w:szCs w:val="28"/>
        </w:rPr>
        <w:t>相關經驗與實績。</w:t>
      </w:r>
    </w:p>
    <w:p w:rsidR="003A2F4D" w:rsidRPr="003A2F4D" w:rsidRDefault="003A2F4D" w:rsidP="003A2F4D">
      <w:pPr>
        <w:pStyle w:val="af3"/>
        <w:numPr>
          <w:ilvl w:val="0"/>
          <w:numId w:val="41"/>
        </w:numPr>
        <w:tabs>
          <w:tab w:val="clear" w:pos="360"/>
          <w:tab w:val="num" w:pos="284"/>
          <w:tab w:val="left" w:pos="1701"/>
        </w:tabs>
        <w:spacing w:line="400" w:lineRule="exact"/>
        <w:ind w:leftChars="355" w:left="1275" w:hangingChars="151" w:hanging="423"/>
        <w:jc w:val="both"/>
        <w:rPr>
          <w:rFonts w:ascii="標楷體" w:eastAsia="標楷體" w:hAnsi="標楷體"/>
          <w:szCs w:val="28"/>
        </w:rPr>
      </w:pPr>
      <w:r w:rsidRPr="003A2F4D">
        <w:rPr>
          <w:rFonts w:ascii="標楷體" w:eastAsia="標楷體" w:hAnsi="標楷體"/>
        </w:rPr>
        <w:t>加值服務：例如廠商得依專業提出其他可達成研究目的之其他</w:t>
      </w:r>
      <w:r w:rsidRPr="003A2F4D">
        <w:rPr>
          <w:rFonts w:ascii="標楷體" w:eastAsia="標楷體" w:hAnsi="標楷體" w:hint="eastAsia"/>
        </w:rPr>
        <w:t>加值服務</w:t>
      </w:r>
      <w:r w:rsidRPr="003A2F4D">
        <w:rPr>
          <w:rFonts w:ascii="標楷體" w:eastAsia="標楷體" w:hAnsi="標楷體"/>
        </w:rPr>
        <w:t>（不另加計費），並應在計畫書內說明。</w:t>
      </w:r>
      <w:r w:rsidRPr="003A2F4D">
        <w:rPr>
          <w:rFonts w:ascii="標楷體" w:eastAsia="標楷體" w:hAnsi="標楷體"/>
          <w:szCs w:val="28"/>
        </w:rPr>
        <w:t>。</w:t>
      </w:r>
    </w:p>
    <w:p w:rsidR="003A2F4D" w:rsidRPr="003A2F4D" w:rsidRDefault="003A2F4D" w:rsidP="003A2F4D">
      <w:pPr>
        <w:adjustRightInd w:val="0"/>
        <w:snapToGrid w:val="0"/>
        <w:spacing w:beforeLines="25" w:before="90" w:afterLines="25" w:after="90" w:line="400" w:lineRule="exact"/>
        <w:jc w:val="both"/>
        <w:rPr>
          <w:rFonts w:ascii="標楷體" w:eastAsia="標楷體" w:hAnsi="標楷體"/>
          <w:sz w:val="28"/>
          <w:szCs w:val="28"/>
        </w:rPr>
      </w:pPr>
      <w:r w:rsidRPr="003A2F4D">
        <w:rPr>
          <w:rFonts w:ascii="標楷體" w:eastAsia="標楷體" w:hAnsi="標楷體"/>
          <w:sz w:val="28"/>
          <w:szCs w:val="28"/>
        </w:rPr>
        <w:t>參、規格需求</w:t>
      </w:r>
    </w:p>
    <w:p w:rsidR="003A2F4D" w:rsidRPr="003A2F4D" w:rsidRDefault="003A2F4D" w:rsidP="003A2F4D">
      <w:pPr>
        <w:numPr>
          <w:ilvl w:val="1"/>
          <w:numId w:val="40"/>
        </w:numPr>
        <w:tabs>
          <w:tab w:val="num" w:pos="1276"/>
        </w:tabs>
        <w:adjustRightInd w:val="0"/>
        <w:snapToGrid w:val="0"/>
        <w:spacing w:beforeLines="25" w:before="90" w:afterLines="25" w:after="90" w:line="400" w:lineRule="exact"/>
        <w:ind w:left="1276" w:hanging="794"/>
        <w:jc w:val="both"/>
        <w:rPr>
          <w:rFonts w:ascii="標楷體" w:eastAsia="標楷體" w:hAnsi="標楷體"/>
          <w:bCs/>
          <w:sz w:val="28"/>
          <w:szCs w:val="28"/>
        </w:rPr>
      </w:pPr>
      <w:r w:rsidRPr="003A2F4D">
        <w:rPr>
          <w:rFonts w:ascii="標楷體" w:eastAsia="標楷體" w:hAnsi="標楷體"/>
          <w:bCs/>
          <w:sz w:val="28"/>
          <w:szCs w:val="28"/>
        </w:rPr>
        <w:t>調查內容：</w:t>
      </w:r>
    </w:p>
    <w:p w:rsidR="003A2F4D" w:rsidRPr="003A2F4D" w:rsidRDefault="003A2F4D" w:rsidP="003A2F4D">
      <w:pPr>
        <w:tabs>
          <w:tab w:val="num" w:pos="1276"/>
        </w:tabs>
        <w:adjustRightInd w:val="0"/>
        <w:snapToGrid w:val="0"/>
        <w:spacing w:beforeLines="25" w:before="90" w:afterLines="25" w:after="90" w:line="400" w:lineRule="exact"/>
        <w:ind w:left="1276"/>
        <w:jc w:val="both"/>
        <w:rPr>
          <w:rFonts w:ascii="標楷體" w:eastAsia="標楷體" w:hAnsi="標楷體" w:hint="eastAsia"/>
          <w:bCs/>
          <w:sz w:val="28"/>
          <w:szCs w:val="28"/>
        </w:rPr>
      </w:pPr>
      <w:r w:rsidRPr="003A2F4D">
        <w:rPr>
          <w:rFonts w:ascii="標楷體" w:eastAsia="標楷體" w:hAnsi="標楷體"/>
          <w:bCs/>
          <w:sz w:val="28"/>
          <w:szCs w:val="28"/>
        </w:rPr>
        <w:t>依公廣集團公共價值評量體系之架構，就以下指標分別進行各式評量調查。</w:t>
      </w:r>
    </w:p>
    <w:p w:rsidR="003A2F4D" w:rsidRPr="003A2F4D" w:rsidRDefault="003A2F4D" w:rsidP="003A2F4D">
      <w:pPr>
        <w:numPr>
          <w:ilvl w:val="0"/>
          <w:numId w:val="38"/>
        </w:numPr>
        <w:tabs>
          <w:tab w:val="clear" w:pos="1695"/>
          <w:tab w:val="num" w:pos="1560"/>
        </w:tabs>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t>「觸達」構面項下指標：「收視率」、「觸達率」、「收看時數」、「新平台觸達率」。</w:t>
      </w:r>
    </w:p>
    <w:p w:rsidR="003A2F4D" w:rsidRPr="003A2F4D" w:rsidRDefault="003A2F4D" w:rsidP="003A2F4D">
      <w:pPr>
        <w:numPr>
          <w:ilvl w:val="0"/>
          <w:numId w:val="38"/>
        </w:numPr>
        <w:tabs>
          <w:tab w:val="clear" w:pos="1695"/>
          <w:tab w:val="num" w:pos="1560"/>
        </w:tabs>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lastRenderedPageBreak/>
        <w:t>「節目品質滿意度」構面項下指標：「節目入圍得獎數」、「喜愛度」、「節目的多元」、「節目的創新」、「節目的深度」、「節目的公正性」、「新聞獨立性」</w:t>
      </w:r>
      <w:r w:rsidRPr="003A2F4D">
        <w:rPr>
          <w:rFonts w:ascii="標楷體" w:eastAsia="標楷體" w:hAnsi="標楷體"/>
          <w:sz w:val="28"/>
          <w:szCs w:val="28"/>
        </w:rPr>
        <w:t>。</w:t>
      </w:r>
    </w:p>
    <w:p w:rsidR="003A2F4D" w:rsidRPr="003A2F4D" w:rsidRDefault="003A2F4D" w:rsidP="003A2F4D">
      <w:pPr>
        <w:numPr>
          <w:ilvl w:val="0"/>
          <w:numId w:val="38"/>
        </w:numPr>
        <w:adjustRightInd w:val="0"/>
        <w:snapToGrid w:val="0"/>
        <w:spacing w:beforeLines="25" w:before="90" w:afterLines="25" w:after="90" w:line="400" w:lineRule="exact"/>
        <w:jc w:val="both"/>
        <w:rPr>
          <w:rFonts w:ascii="標楷體" w:eastAsia="標楷體" w:hAnsi="標楷體"/>
          <w:sz w:val="28"/>
          <w:szCs w:val="28"/>
        </w:rPr>
      </w:pPr>
      <w:r w:rsidRPr="003A2F4D">
        <w:rPr>
          <w:rFonts w:ascii="標楷體" w:eastAsia="標楷體" w:hAnsi="標楷體"/>
          <w:bCs/>
          <w:sz w:val="28"/>
          <w:szCs w:val="28"/>
        </w:rPr>
        <w:t>「影響力」構面項下指標：「型塑公民社會」、「發揮社會影響力」、「信任度」、「需要度」、「國際露出」</w:t>
      </w:r>
      <w:r w:rsidRPr="003A2F4D">
        <w:rPr>
          <w:rFonts w:ascii="標楷體" w:eastAsia="標楷體" w:hAnsi="標楷體"/>
          <w:sz w:val="28"/>
          <w:szCs w:val="28"/>
        </w:rPr>
        <w:t>。</w:t>
      </w:r>
    </w:p>
    <w:p w:rsidR="003A2F4D" w:rsidRPr="003A2F4D" w:rsidRDefault="003A2F4D" w:rsidP="003A2F4D">
      <w:pPr>
        <w:numPr>
          <w:ilvl w:val="0"/>
          <w:numId w:val="38"/>
        </w:numPr>
        <w:adjustRightInd w:val="0"/>
        <w:snapToGrid w:val="0"/>
        <w:spacing w:beforeLines="25" w:before="90" w:afterLines="25" w:after="90" w:line="400" w:lineRule="exact"/>
        <w:jc w:val="both"/>
        <w:rPr>
          <w:rFonts w:ascii="標楷體" w:eastAsia="標楷體" w:hAnsi="標楷體"/>
          <w:bCs/>
          <w:strike/>
          <w:sz w:val="28"/>
          <w:szCs w:val="28"/>
        </w:rPr>
      </w:pPr>
      <w:r w:rsidRPr="003A2F4D">
        <w:rPr>
          <w:rFonts w:ascii="標楷體" w:eastAsia="標楷體" w:hAnsi="標楷體"/>
          <w:bCs/>
          <w:sz w:val="28"/>
          <w:szCs w:val="28"/>
        </w:rPr>
        <w:t>「公共服務」構面項下指標：「資源分享服務公民」、「提升產業環境」、「收視普及」、「數位發展」、「提升多元族群傳播權」、「發揚族群語言與文化」</w:t>
      </w:r>
      <w:r w:rsidRPr="003A2F4D">
        <w:rPr>
          <w:rFonts w:ascii="標楷體" w:eastAsia="標楷體" w:hAnsi="標楷體"/>
          <w:sz w:val="28"/>
          <w:szCs w:val="28"/>
        </w:rPr>
        <w:t>。</w:t>
      </w:r>
    </w:p>
    <w:p w:rsidR="003A2F4D" w:rsidRPr="003A2F4D" w:rsidRDefault="003A2F4D" w:rsidP="003A2F4D">
      <w:pPr>
        <w:numPr>
          <w:ilvl w:val="0"/>
          <w:numId w:val="38"/>
        </w:numPr>
        <w:adjustRightInd w:val="0"/>
        <w:snapToGrid w:val="0"/>
        <w:spacing w:beforeLines="25" w:before="90" w:afterLines="25" w:after="90" w:line="400" w:lineRule="exact"/>
        <w:jc w:val="both"/>
        <w:rPr>
          <w:rFonts w:ascii="標楷體" w:eastAsia="標楷體" w:hAnsi="標楷體"/>
          <w:bCs/>
          <w:strike/>
          <w:sz w:val="28"/>
          <w:szCs w:val="28"/>
        </w:rPr>
      </w:pPr>
      <w:r w:rsidRPr="003A2F4D">
        <w:rPr>
          <w:rFonts w:ascii="標楷體" w:eastAsia="標楷體" w:hAnsi="標楷體"/>
          <w:bCs/>
          <w:sz w:val="28"/>
          <w:szCs w:val="28"/>
        </w:rPr>
        <w:t>「營運效率」構面項下指標：「運作透明化」、「有效運用並開發資源」、「人力資源活化與專業技能提升」、「提供公平合理的勞動條件」</w:t>
      </w:r>
      <w:r w:rsidRPr="003A2F4D">
        <w:rPr>
          <w:rFonts w:ascii="標楷體" w:eastAsia="標楷體" w:hAnsi="標楷體"/>
          <w:sz w:val="28"/>
          <w:szCs w:val="28"/>
        </w:rPr>
        <w:t>。</w:t>
      </w:r>
    </w:p>
    <w:p w:rsidR="003A2F4D" w:rsidRPr="003A2F4D" w:rsidRDefault="003A2F4D" w:rsidP="003A2F4D">
      <w:pPr>
        <w:numPr>
          <w:ilvl w:val="0"/>
          <w:numId w:val="40"/>
        </w:numPr>
        <w:adjustRightInd w:val="0"/>
        <w:snapToGrid w:val="0"/>
        <w:spacing w:beforeLines="25" w:before="90" w:afterLines="25" w:after="90" w:line="400" w:lineRule="exact"/>
        <w:ind w:left="1134" w:hanging="708"/>
        <w:jc w:val="both"/>
        <w:rPr>
          <w:rFonts w:ascii="標楷體" w:eastAsia="標楷體" w:hAnsi="標楷體"/>
          <w:bCs/>
          <w:sz w:val="28"/>
          <w:szCs w:val="28"/>
        </w:rPr>
      </w:pPr>
      <w:r w:rsidRPr="003A2F4D">
        <w:rPr>
          <w:rFonts w:ascii="標楷體" w:eastAsia="標楷體" w:hAnsi="標楷體"/>
          <w:bCs/>
          <w:sz w:val="28"/>
          <w:szCs w:val="28"/>
        </w:rPr>
        <w:t>調查期間：自簽約日起至</w:t>
      </w:r>
      <w:r w:rsidRPr="003A2F4D">
        <w:rPr>
          <w:rFonts w:ascii="標楷體" w:eastAsia="標楷體" w:hAnsi="標楷體" w:hint="eastAsia"/>
          <w:bCs/>
          <w:sz w:val="28"/>
          <w:szCs w:val="28"/>
        </w:rPr>
        <w:t>翌</w:t>
      </w:r>
      <w:r w:rsidRPr="003A2F4D">
        <w:rPr>
          <w:rFonts w:ascii="標楷體" w:eastAsia="標楷體" w:hAnsi="標楷體"/>
          <w:bCs/>
          <w:sz w:val="28"/>
          <w:szCs w:val="28"/>
        </w:rPr>
        <w:t>年3月底。於執行完畢後，經公共價值評量委員會就執行狀況及報告進行審查</w:t>
      </w:r>
      <w:r w:rsidRPr="003A2F4D">
        <w:rPr>
          <w:rFonts w:ascii="標楷體" w:eastAsia="標楷體" w:hAnsi="標楷體" w:hint="eastAsia"/>
          <w:bCs/>
          <w:sz w:val="28"/>
          <w:szCs w:val="28"/>
        </w:rPr>
        <w:t>。</w:t>
      </w:r>
    </w:p>
    <w:p w:rsidR="003A2F4D" w:rsidRPr="003A2F4D" w:rsidRDefault="003A2F4D" w:rsidP="003A2F4D">
      <w:pPr>
        <w:numPr>
          <w:ilvl w:val="0"/>
          <w:numId w:val="40"/>
        </w:numPr>
        <w:adjustRightInd w:val="0"/>
        <w:snapToGrid w:val="0"/>
        <w:spacing w:beforeLines="25" w:before="90" w:afterLines="25" w:after="90" w:line="400" w:lineRule="exact"/>
        <w:ind w:left="1134" w:hanging="708"/>
        <w:jc w:val="both"/>
        <w:rPr>
          <w:rFonts w:ascii="標楷體" w:eastAsia="標楷體" w:hAnsi="標楷體"/>
          <w:bCs/>
          <w:sz w:val="28"/>
          <w:szCs w:val="28"/>
        </w:rPr>
      </w:pPr>
      <w:r w:rsidRPr="003A2F4D">
        <w:rPr>
          <w:rFonts w:ascii="標楷體" w:eastAsia="標楷體" w:hAnsi="標楷體"/>
          <w:bCs/>
          <w:sz w:val="28"/>
          <w:szCs w:val="28"/>
        </w:rPr>
        <w:t>調查地區：全台灣地區</w:t>
      </w:r>
      <w:r w:rsidRPr="003A2F4D">
        <w:rPr>
          <w:rFonts w:ascii="標楷體" w:eastAsia="標楷體" w:hAnsi="標楷體" w:hint="eastAsia"/>
          <w:bCs/>
          <w:sz w:val="28"/>
          <w:szCs w:val="28"/>
        </w:rPr>
        <w:t>及離島</w:t>
      </w:r>
      <w:r w:rsidRPr="003A2F4D">
        <w:rPr>
          <w:rFonts w:ascii="標楷體" w:eastAsia="標楷體" w:hAnsi="標楷體"/>
          <w:bCs/>
          <w:sz w:val="28"/>
          <w:szCs w:val="28"/>
        </w:rPr>
        <w:t>。</w:t>
      </w:r>
    </w:p>
    <w:p w:rsidR="003A2F4D" w:rsidRPr="003A2F4D" w:rsidRDefault="003A2F4D" w:rsidP="003A2F4D">
      <w:pPr>
        <w:numPr>
          <w:ilvl w:val="0"/>
          <w:numId w:val="40"/>
        </w:numPr>
        <w:adjustRightInd w:val="0"/>
        <w:snapToGrid w:val="0"/>
        <w:spacing w:beforeLines="25" w:before="90" w:afterLines="25" w:after="90" w:line="400" w:lineRule="exact"/>
        <w:ind w:left="1134" w:hanging="708"/>
        <w:jc w:val="both"/>
        <w:rPr>
          <w:rFonts w:ascii="標楷體" w:eastAsia="標楷體" w:hAnsi="標楷體" w:hint="eastAsia"/>
          <w:bCs/>
          <w:sz w:val="28"/>
          <w:szCs w:val="28"/>
        </w:rPr>
      </w:pPr>
      <w:r w:rsidRPr="003A2F4D">
        <w:rPr>
          <w:rFonts w:ascii="標楷體" w:eastAsia="標楷體" w:hAnsi="標楷體"/>
          <w:bCs/>
          <w:sz w:val="28"/>
          <w:szCs w:val="28"/>
        </w:rPr>
        <w:t>調查規格：</w:t>
      </w:r>
    </w:p>
    <w:p w:rsidR="003A2F4D" w:rsidRPr="003A2F4D" w:rsidRDefault="003A2F4D" w:rsidP="003A2F4D">
      <w:pPr>
        <w:numPr>
          <w:ilvl w:val="0"/>
          <w:numId w:val="42"/>
        </w:numPr>
        <w:adjustRightInd w:val="0"/>
        <w:snapToGrid w:val="0"/>
        <w:spacing w:beforeLines="25" w:before="90" w:afterLines="25" w:after="90" w:line="400" w:lineRule="exact"/>
        <w:jc w:val="both"/>
        <w:rPr>
          <w:rFonts w:ascii="標楷體" w:eastAsia="標楷體" w:hAnsi="標楷體"/>
          <w:sz w:val="28"/>
          <w:szCs w:val="28"/>
        </w:rPr>
      </w:pPr>
      <w:r w:rsidRPr="003A2F4D">
        <w:rPr>
          <w:rFonts w:ascii="標楷體" w:eastAsia="標楷體" w:hAnsi="標楷體" w:hint="eastAsia"/>
          <w:sz w:val="28"/>
          <w:szCs w:val="28"/>
        </w:rPr>
        <w:t>量化調查：</w:t>
      </w:r>
    </w:p>
    <w:p w:rsidR="003A2F4D" w:rsidRPr="003A2F4D" w:rsidRDefault="003A2F4D" w:rsidP="003A2F4D">
      <w:pPr>
        <w:numPr>
          <w:ilvl w:val="4"/>
          <w:numId w:val="39"/>
        </w:numPr>
        <w:adjustRightInd w:val="0"/>
        <w:snapToGrid w:val="0"/>
        <w:spacing w:beforeLines="25" w:before="90" w:afterLines="25" w:after="90" w:line="400" w:lineRule="exact"/>
        <w:ind w:left="1843" w:hanging="283"/>
        <w:jc w:val="both"/>
        <w:rPr>
          <w:rFonts w:ascii="標楷體" w:eastAsia="標楷體" w:hAnsi="標楷體"/>
          <w:sz w:val="28"/>
          <w:szCs w:val="28"/>
        </w:rPr>
      </w:pPr>
      <w:r w:rsidRPr="003A2F4D">
        <w:rPr>
          <w:rFonts w:ascii="標楷體" w:eastAsia="標楷體" w:hAnsi="標楷體"/>
          <w:sz w:val="28"/>
          <w:szCs w:val="28"/>
        </w:rPr>
        <w:t>觀眾意見調查：採用電話訪問調查方法完成公視與華視至少1,100份以上的有效樣本（有效樣本定義為完成訪問，無矛盾及刊載不清者），</w:t>
      </w:r>
      <w:r w:rsidRPr="003A2F4D">
        <w:rPr>
          <w:rFonts w:ascii="標楷體" w:eastAsia="標楷體" w:hAnsi="標楷體" w:hint="eastAsia"/>
          <w:sz w:val="28"/>
          <w:szCs w:val="28"/>
        </w:rPr>
        <w:t>調查對象為</w:t>
      </w:r>
      <w:r w:rsidRPr="003A2F4D">
        <w:rPr>
          <w:rFonts w:ascii="標楷體" w:eastAsia="標楷體" w:hAnsi="標楷體"/>
          <w:sz w:val="28"/>
          <w:szCs w:val="28"/>
        </w:rPr>
        <w:t>最近</w:t>
      </w:r>
      <w:r w:rsidRPr="003A2F4D">
        <w:rPr>
          <w:rFonts w:ascii="標楷體" w:eastAsia="標楷體" w:hAnsi="標楷體" w:hint="eastAsia"/>
          <w:sz w:val="28"/>
          <w:szCs w:val="28"/>
        </w:rPr>
        <w:t>一</w:t>
      </w:r>
      <w:r w:rsidRPr="003A2F4D">
        <w:rPr>
          <w:rFonts w:ascii="標楷體" w:eastAsia="標楷體" w:hAnsi="標楷體"/>
          <w:sz w:val="28"/>
          <w:szCs w:val="28"/>
        </w:rPr>
        <w:t>個月內</w:t>
      </w:r>
      <w:r w:rsidRPr="003A2F4D">
        <w:rPr>
          <w:rFonts w:ascii="標楷體" w:eastAsia="標楷體" w:hAnsi="標楷體" w:hint="eastAsia"/>
          <w:sz w:val="28"/>
          <w:szCs w:val="28"/>
        </w:rPr>
        <w:t>有</w:t>
      </w:r>
      <w:r w:rsidRPr="003A2F4D">
        <w:rPr>
          <w:rFonts w:ascii="標楷體" w:eastAsia="標楷體" w:hAnsi="標楷體"/>
          <w:sz w:val="28"/>
          <w:szCs w:val="28"/>
        </w:rPr>
        <w:t>收看公視或華視</w:t>
      </w:r>
      <w:r w:rsidRPr="003A2F4D">
        <w:rPr>
          <w:rFonts w:ascii="標楷體" w:eastAsia="標楷體" w:hAnsi="標楷體" w:hint="eastAsia"/>
          <w:sz w:val="28"/>
          <w:szCs w:val="28"/>
        </w:rPr>
        <w:t>或客台</w:t>
      </w:r>
      <w:r w:rsidRPr="003A2F4D">
        <w:rPr>
          <w:rFonts w:ascii="標楷體" w:eastAsia="標楷體" w:hAnsi="標楷體"/>
          <w:sz w:val="28"/>
          <w:szCs w:val="28"/>
        </w:rPr>
        <w:t>任一台節目並年滿十歲的民眾。需進行問卷前測。</w:t>
      </w:r>
    </w:p>
    <w:p w:rsidR="003A2F4D" w:rsidRPr="003A2F4D" w:rsidRDefault="003A2F4D" w:rsidP="003A2F4D">
      <w:pPr>
        <w:numPr>
          <w:ilvl w:val="4"/>
          <w:numId w:val="39"/>
        </w:numPr>
        <w:adjustRightInd w:val="0"/>
        <w:snapToGrid w:val="0"/>
        <w:spacing w:beforeLines="25" w:before="90" w:afterLines="25" w:after="90" w:line="400" w:lineRule="exact"/>
        <w:ind w:hanging="810"/>
        <w:jc w:val="both"/>
        <w:rPr>
          <w:rFonts w:ascii="標楷體" w:eastAsia="標楷體" w:hAnsi="標楷體" w:hint="eastAsia"/>
          <w:sz w:val="28"/>
          <w:szCs w:val="28"/>
        </w:rPr>
      </w:pPr>
      <w:r w:rsidRPr="003A2F4D">
        <w:rPr>
          <w:rFonts w:ascii="標楷體" w:eastAsia="標楷體" w:hAnsi="標楷體" w:hint="eastAsia"/>
          <w:sz w:val="28"/>
          <w:szCs w:val="28"/>
        </w:rPr>
        <w:t>員</w:t>
      </w:r>
      <w:r w:rsidRPr="003A2F4D">
        <w:rPr>
          <w:rFonts w:ascii="標楷體" w:eastAsia="標楷體" w:hAnsi="標楷體"/>
          <w:sz w:val="28"/>
          <w:szCs w:val="28"/>
        </w:rPr>
        <w:t>工意見調查：公視、客台、華視三台內部員工問卷</w:t>
      </w:r>
      <w:r w:rsidRPr="003A2F4D">
        <w:rPr>
          <w:rFonts w:ascii="標楷體" w:eastAsia="標楷體" w:hAnsi="標楷體" w:hint="eastAsia"/>
          <w:sz w:val="28"/>
          <w:szCs w:val="28"/>
        </w:rPr>
        <w:t>調查</w:t>
      </w:r>
      <w:r w:rsidRPr="003A2F4D">
        <w:rPr>
          <w:rFonts w:ascii="標楷體" w:eastAsia="標楷體" w:hAnsi="標楷體"/>
          <w:sz w:val="28"/>
          <w:szCs w:val="28"/>
        </w:rPr>
        <w:t>。</w:t>
      </w:r>
      <w:r w:rsidRPr="003A2F4D">
        <w:rPr>
          <w:rFonts w:ascii="標楷體" w:eastAsia="標楷體" w:hAnsi="標楷體" w:hint="eastAsia"/>
          <w:sz w:val="28"/>
          <w:szCs w:val="28"/>
        </w:rPr>
        <w:t>（普查）</w:t>
      </w:r>
    </w:p>
    <w:p w:rsidR="003A2F4D" w:rsidRPr="003A2F4D" w:rsidRDefault="003A2F4D" w:rsidP="003A2F4D">
      <w:pPr>
        <w:numPr>
          <w:ilvl w:val="0"/>
          <w:numId w:val="42"/>
        </w:num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hint="eastAsia"/>
          <w:bCs/>
          <w:sz w:val="28"/>
          <w:szCs w:val="28"/>
        </w:rPr>
        <w:t>質化研究：</w:t>
      </w:r>
    </w:p>
    <w:p w:rsidR="003A2F4D" w:rsidRPr="003A2F4D" w:rsidRDefault="003A2F4D" w:rsidP="003A2F4D">
      <w:pPr>
        <w:numPr>
          <w:ilvl w:val="0"/>
          <w:numId w:val="43"/>
        </w:num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t>焦點團體座談：NGO/NPO、</w:t>
      </w:r>
      <w:r w:rsidRPr="003A2F4D">
        <w:rPr>
          <w:rFonts w:ascii="標楷體" w:eastAsia="標楷體" w:hAnsi="標楷體" w:hint="eastAsia"/>
          <w:bCs/>
          <w:sz w:val="28"/>
          <w:szCs w:val="28"/>
        </w:rPr>
        <w:t>兒少(國中以下)、學生族群、客家</w:t>
      </w:r>
      <w:r w:rsidRPr="003A2F4D">
        <w:rPr>
          <w:rFonts w:ascii="標楷體" w:eastAsia="標楷體" w:hAnsi="標楷體"/>
          <w:bCs/>
          <w:sz w:val="28"/>
          <w:szCs w:val="28"/>
        </w:rPr>
        <w:t>團體</w:t>
      </w:r>
      <w:r w:rsidRPr="003A2F4D">
        <w:rPr>
          <w:rFonts w:ascii="標楷體" w:eastAsia="標楷體" w:hAnsi="標楷體" w:hint="eastAsia"/>
          <w:bCs/>
          <w:sz w:val="28"/>
          <w:szCs w:val="28"/>
        </w:rPr>
        <w:t>、非公廣集團觀眾各1場，共5場，</w:t>
      </w:r>
      <w:r w:rsidRPr="003A2F4D">
        <w:rPr>
          <w:rFonts w:ascii="標楷體" w:eastAsia="標楷體" w:hAnsi="標楷體"/>
          <w:bCs/>
          <w:sz w:val="28"/>
          <w:szCs w:val="28"/>
        </w:rPr>
        <w:t>每場8-10人。</w:t>
      </w:r>
    </w:p>
    <w:p w:rsidR="003A2F4D" w:rsidRPr="003A2F4D" w:rsidRDefault="003A2F4D" w:rsidP="003A2F4D">
      <w:pPr>
        <w:numPr>
          <w:ilvl w:val="0"/>
          <w:numId w:val="43"/>
        </w:num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t>公聽會：北、中、南、東地區各一場，共計4場公聽會（</w:t>
      </w:r>
      <w:r w:rsidRPr="003A2F4D">
        <w:rPr>
          <w:rFonts w:ascii="標楷體" w:eastAsia="標楷體" w:hAnsi="標楷體" w:hint="eastAsia"/>
          <w:bCs/>
          <w:sz w:val="28"/>
          <w:szCs w:val="28"/>
        </w:rPr>
        <w:t>每場至少20人</w:t>
      </w:r>
      <w:r w:rsidRPr="003A2F4D">
        <w:rPr>
          <w:rFonts w:ascii="標楷體" w:eastAsia="標楷體" w:hAnsi="標楷體"/>
          <w:bCs/>
          <w:sz w:val="28"/>
          <w:szCs w:val="28"/>
        </w:rPr>
        <w:t>，不支付出席費，由委託單位提供出席禮品，委託單位陪同列席人員差旅費由委託單位自付）。舉辦地區盡量與公視2017年度舉行之公共問責座談會不同。</w:t>
      </w:r>
    </w:p>
    <w:p w:rsidR="003A2F4D" w:rsidRPr="003A2F4D" w:rsidRDefault="003A2F4D" w:rsidP="003A2F4D">
      <w:pPr>
        <w:numPr>
          <w:ilvl w:val="0"/>
          <w:numId w:val="43"/>
        </w:numPr>
        <w:adjustRightInd w:val="0"/>
        <w:snapToGrid w:val="0"/>
        <w:spacing w:beforeLines="25" w:before="90" w:afterLines="25" w:after="90" w:line="400" w:lineRule="exact"/>
        <w:jc w:val="both"/>
        <w:rPr>
          <w:rFonts w:ascii="標楷體" w:eastAsia="標楷體" w:hAnsi="標楷體" w:hint="eastAsia"/>
          <w:bCs/>
          <w:sz w:val="28"/>
          <w:szCs w:val="28"/>
        </w:rPr>
      </w:pPr>
      <w:r w:rsidRPr="003A2F4D">
        <w:rPr>
          <w:rFonts w:ascii="標楷體" w:eastAsia="標楷體" w:hAnsi="標楷體" w:hint="eastAsia"/>
          <w:bCs/>
          <w:sz w:val="28"/>
          <w:szCs w:val="28"/>
        </w:rPr>
        <w:t>專家</w:t>
      </w:r>
      <w:r w:rsidRPr="003A2F4D">
        <w:rPr>
          <w:rFonts w:ascii="標楷體" w:eastAsia="標楷體" w:hAnsi="標楷體"/>
          <w:bCs/>
          <w:sz w:val="28"/>
          <w:szCs w:val="28"/>
        </w:rPr>
        <w:t>學者訪談：</w:t>
      </w:r>
      <w:r w:rsidRPr="003A2F4D">
        <w:rPr>
          <w:rFonts w:ascii="標楷體" w:eastAsia="標楷體" w:hAnsi="標楷體" w:hint="eastAsia"/>
          <w:bCs/>
          <w:sz w:val="28"/>
          <w:szCs w:val="28"/>
        </w:rPr>
        <w:t>針對至少12位傳播/新聞/法律/教育/文化各領域專家進行深入訪談，受訪專家應包含客家族群、原</w:t>
      </w:r>
      <w:r w:rsidRPr="003A2F4D">
        <w:rPr>
          <w:rFonts w:ascii="標楷體" w:eastAsia="標楷體" w:hAnsi="標楷體" w:hint="eastAsia"/>
          <w:bCs/>
          <w:sz w:val="28"/>
          <w:szCs w:val="28"/>
        </w:rPr>
        <w:lastRenderedPageBreak/>
        <w:t>住民族、新住民之代表。</w:t>
      </w:r>
    </w:p>
    <w:p w:rsidR="003A2F4D" w:rsidRPr="003A2F4D" w:rsidRDefault="003A2F4D" w:rsidP="003A2F4D">
      <w:pPr>
        <w:numPr>
          <w:ilvl w:val="0"/>
          <w:numId w:val="42"/>
        </w:num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t>次級資料分析：</w:t>
      </w:r>
    </w:p>
    <w:p w:rsidR="003A2F4D" w:rsidRPr="003A2F4D" w:rsidRDefault="003A2F4D" w:rsidP="003A2F4D">
      <w:pPr>
        <w:numPr>
          <w:ilvl w:val="0"/>
          <w:numId w:val="44"/>
        </w:numPr>
        <w:adjustRightInd w:val="0"/>
        <w:snapToGrid w:val="0"/>
        <w:spacing w:beforeLines="25" w:before="90" w:afterLines="25" w:after="90" w:line="400" w:lineRule="exact"/>
        <w:jc w:val="both"/>
        <w:rPr>
          <w:rFonts w:ascii="標楷體" w:eastAsia="標楷體" w:hAnsi="標楷體"/>
          <w:bCs/>
          <w:sz w:val="28"/>
          <w:szCs w:val="28"/>
        </w:rPr>
      </w:pPr>
      <w:r w:rsidRPr="003A2F4D">
        <w:rPr>
          <w:rFonts w:ascii="標楷體" w:eastAsia="標楷體" w:hAnsi="標楷體"/>
          <w:bCs/>
          <w:sz w:val="28"/>
          <w:szCs w:val="28"/>
        </w:rPr>
        <w:t>客庄地區一週電視收視率：（北、中、南、東各1客庄地區，</w:t>
      </w:r>
      <w:r w:rsidRPr="003A2F4D">
        <w:rPr>
          <w:rFonts w:ascii="標楷體" w:eastAsia="標楷體" w:hAnsi="標楷體" w:hint="eastAsia"/>
          <w:bCs/>
          <w:sz w:val="28"/>
          <w:szCs w:val="28"/>
        </w:rPr>
        <w:t>可</w:t>
      </w:r>
      <w:r w:rsidRPr="003A2F4D">
        <w:rPr>
          <w:rFonts w:ascii="標楷體" w:eastAsia="標楷體" w:hAnsi="標楷體"/>
          <w:bCs/>
          <w:sz w:val="28"/>
          <w:szCs w:val="28"/>
        </w:rPr>
        <w:t>自行調查或購買次級資料</w:t>
      </w:r>
      <w:r w:rsidRPr="003A2F4D">
        <w:rPr>
          <w:rFonts w:ascii="標楷體" w:eastAsia="標楷體" w:hAnsi="標楷體" w:hint="eastAsia"/>
          <w:bCs/>
          <w:sz w:val="28"/>
          <w:szCs w:val="28"/>
        </w:rPr>
        <w:t>，若為抽樣調查，樣本數應達1,067戶</w:t>
      </w:r>
      <w:r w:rsidRPr="003A2F4D">
        <w:rPr>
          <w:rFonts w:ascii="標楷體" w:eastAsia="標楷體" w:hAnsi="標楷體"/>
          <w:bCs/>
          <w:sz w:val="28"/>
          <w:szCs w:val="28"/>
        </w:rPr>
        <w:t>）</w:t>
      </w:r>
      <w:r w:rsidRPr="003A2F4D">
        <w:rPr>
          <w:rFonts w:ascii="標楷體" w:eastAsia="標楷體" w:hAnsi="標楷體" w:hint="eastAsia"/>
          <w:bCs/>
          <w:sz w:val="28"/>
          <w:szCs w:val="28"/>
        </w:rPr>
        <w:t>。</w:t>
      </w:r>
    </w:p>
    <w:p w:rsidR="003A2F4D" w:rsidRPr="003A2F4D" w:rsidRDefault="003A2F4D" w:rsidP="003A2F4D">
      <w:pPr>
        <w:numPr>
          <w:ilvl w:val="0"/>
          <w:numId w:val="44"/>
        </w:numPr>
        <w:adjustRightInd w:val="0"/>
        <w:snapToGrid w:val="0"/>
        <w:spacing w:beforeLines="25" w:before="90" w:afterLines="25" w:after="90" w:line="400" w:lineRule="exact"/>
        <w:jc w:val="both"/>
        <w:rPr>
          <w:rFonts w:ascii="標楷體" w:eastAsia="標楷體" w:hAnsi="標楷體" w:hint="eastAsia"/>
          <w:bCs/>
          <w:sz w:val="28"/>
          <w:szCs w:val="28"/>
        </w:rPr>
      </w:pPr>
      <w:r w:rsidRPr="003A2F4D">
        <w:rPr>
          <w:rFonts w:ascii="標楷體" w:eastAsia="標楷體" w:hAnsi="標楷體"/>
          <w:bCs/>
          <w:sz w:val="28"/>
          <w:szCs w:val="28"/>
        </w:rPr>
        <w:t>公視、華視與客台提供與本案相關之委外研究結果及內部資料，統一由研究單位進行分析整理。</w:t>
      </w:r>
    </w:p>
    <w:p w:rsidR="003A2F4D" w:rsidRPr="003A2F4D" w:rsidRDefault="003A2F4D" w:rsidP="003A2F4D">
      <w:pPr>
        <w:numPr>
          <w:ilvl w:val="0"/>
          <w:numId w:val="42"/>
        </w:numPr>
        <w:adjustRightInd w:val="0"/>
        <w:snapToGrid w:val="0"/>
        <w:spacing w:beforeLines="25" w:before="90" w:afterLines="25" w:after="90" w:line="400" w:lineRule="exact"/>
        <w:jc w:val="both"/>
        <w:rPr>
          <w:rFonts w:ascii="標楷體" w:eastAsia="標楷體" w:hAnsi="標楷體" w:hint="eastAsia"/>
          <w:bCs/>
          <w:sz w:val="28"/>
          <w:szCs w:val="28"/>
        </w:rPr>
      </w:pPr>
      <w:r w:rsidRPr="003A2F4D">
        <w:rPr>
          <w:rFonts w:ascii="標楷體" w:eastAsia="標楷體" w:hAnsi="標楷體"/>
          <w:bCs/>
          <w:sz w:val="28"/>
          <w:szCs w:val="28"/>
        </w:rPr>
        <w:t>廠商綜合以上調查結果並彙整次級資料，於研究期</w:t>
      </w:r>
      <w:r w:rsidRPr="003A2F4D">
        <w:rPr>
          <w:rFonts w:ascii="標楷體" w:eastAsia="標楷體" w:hAnsi="標楷體" w:hint="eastAsia"/>
          <w:bCs/>
          <w:sz w:val="28"/>
          <w:szCs w:val="28"/>
        </w:rPr>
        <w:t>間</w:t>
      </w:r>
      <w:r w:rsidRPr="003A2F4D">
        <w:rPr>
          <w:rFonts w:ascii="標楷體" w:eastAsia="標楷體" w:hAnsi="標楷體"/>
          <w:bCs/>
          <w:sz w:val="28"/>
          <w:szCs w:val="28"/>
        </w:rPr>
        <w:t>提出期</w:t>
      </w:r>
      <w:r w:rsidRPr="003A2F4D">
        <w:rPr>
          <w:rFonts w:ascii="標楷體" w:eastAsia="標楷體" w:hAnsi="標楷體" w:hint="eastAsia"/>
          <w:bCs/>
          <w:sz w:val="28"/>
          <w:szCs w:val="28"/>
        </w:rPr>
        <w:t>初報告（含</w:t>
      </w:r>
      <w:r w:rsidRPr="003A2F4D">
        <w:rPr>
          <w:rFonts w:ascii="標楷體" w:eastAsia="標楷體" w:hAnsi="標楷體"/>
          <w:bCs/>
          <w:sz w:val="28"/>
          <w:szCs w:val="28"/>
        </w:rPr>
        <w:t>調查</w:t>
      </w:r>
      <w:r w:rsidRPr="003A2F4D">
        <w:rPr>
          <w:rFonts w:ascii="標楷體" w:eastAsia="標楷體" w:hAnsi="標楷體" w:hint="eastAsia"/>
          <w:bCs/>
          <w:sz w:val="28"/>
          <w:szCs w:val="28"/>
        </w:rPr>
        <w:t>研究設計</w:t>
      </w:r>
      <w:r w:rsidRPr="003A2F4D">
        <w:rPr>
          <w:rFonts w:ascii="標楷體" w:eastAsia="標楷體" w:hAnsi="標楷體"/>
          <w:bCs/>
          <w:sz w:val="28"/>
          <w:szCs w:val="28"/>
        </w:rPr>
        <w:t>、問卷內容、調查方法、調查範圍</w:t>
      </w:r>
      <w:r w:rsidRPr="003A2F4D">
        <w:rPr>
          <w:rFonts w:ascii="標楷體" w:eastAsia="標楷體" w:hAnsi="標楷體" w:hint="eastAsia"/>
          <w:bCs/>
          <w:sz w:val="28"/>
          <w:szCs w:val="28"/>
        </w:rPr>
        <w:t>、時程規劃等）</w:t>
      </w:r>
      <w:r w:rsidRPr="003A2F4D">
        <w:rPr>
          <w:rFonts w:ascii="標楷體" w:eastAsia="標楷體" w:hAnsi="標楷體"/>
          <w:bCs/>
          <w:sz w:val="28"/>
          <w:szCs w:val="28"/>
        </w:rPr>
        <w:t>、</w:t>
      </w:r>
      <w:r w:rsidRPr="003A2F4D">
        <w:rPr>
          <w:rFonts w:ascii="標楷體" w:eastAsia="標楷體" w:hAnsi="標楷體" w:hint="eastAsia"/>
          <w:bCs/>
          <w:sz w:val="28"/>
          <w:szCs w:val="28"/>
        </w:rPr>
        <w:t>期</w:t>
      </w:r>
      <w:r w:rsidRPr="003A2F4D">
        <w:rPr>
          <w:rFonts w:ascii="標楷體" w:eastAsia="標楷體" w:hAnsi="標楷體"/>
          <w:bCs/>
          <w:sz w:val="28"/>
          <w:szCs w:val="28"/>
        </w:rPr>
        <w:t>中報告</w:t>
      </w:r>
      <w:r w:rsidRPr="003A2F4D">
        <w:rPr>
          <w:rFonts w:ascii="標楷體" w:eastAsia="標楷體" w:hAnsi="標楷體" w:hint="eastAsia"/>
          <w:bCs/>
          <w:sz w:val="28"/>
          <w:szCs w:val="28"/>
        </w:rPr>
        <w:t>（含已完成之調查結果、初步分析等）並於期限內提出</w:t>
      </w:r>
      <w:r w:rsidRPr="003A2F4D">
        <w:rPr>
          <w:rFonts w:ascii="標楷體" w:eastAsia="標楷體" w:hAnsi="標楷體"/>
          <w:bCs/>
          <w:sz w:val="28"/>
          <w:szCs w:val="28"/>
        </w:rPr>
        <w:t>結案報告（內容須包含各指標評量結果分析、專業之綜合建議），</w:t>
      </w:r>
      <w:r w:rsidRPr="003A2F4D">
        <w:rPr>
          <w:rFonts w:ascii="標楷體" w:eastAsia="標楷體" w:hAnsi="標楷體" w:hint="eastAsia"/>
          <w:bCs/>
          <w:sz w:val="28"/>
          <w:szCs w:val="28"/>
        </w:rPr>
        <w:t>均採</w:t>
      </w:r>
      <w:r w:rsidRPr="003A2F4D">
        <w:rPr>
          <w:rFonts w:ascii="標楷體" w:eastAsia="標楷體" w:hAnsi="標楷體"/>
          <w:bCs/>
          <w:sz w:val="28"/>
          <w:szCs w:val="28"/>
        </w:rPr>
        <w:t>到會簡報</w:t>
      </w:r>
      <w:r w:rsidRPr="003A2F4D">
        <w:rPr>
          <w:rFonts w:ascii="標楷體" w:eastAsia="標楷體" w:hAnsi="標楷體" w:hint="eastAsia"/>
          <w:bCs/>
          <w:sz w:val="28"/>
          <w:szCs w:val="28"/>
        </w:rPr>
        <w:t>方式</w:t>
      </w:r>
      <w:r w:rsidRPr="003A2F4D">
        <w:rPr>
          <w:rFonts w:ascii="標楷體" w:eastAsia="標楷體" w:hAnsi="標楷體"/>
          <w:bCs/>
          <w:sz w:val="28"/>
          <w:szCs w:val="28"/>
        </w:rPr>
        <w:t>，結案報告經公共價值評量委員會確認後方認可為總結報告。</w:t>
      </w:r>
    </w:p>
    <w:p w:rsidR="003A2F4D" w:rsidRPr="003A2F4D" w:rsidRDefault="003A2F4D" w:rsidP="003A2F4D">
      <w:pPr>
        <w:numPr>
          <w:ilvl w:val="0"/>
          <w:numId w:val="40"/>
        </w:numPr>
        <w:spacing w:line="500" w:lineRule="exact"/>
        <w:ind w:left="993" w:hanging="567"/>
        <w:jc w:val="both"/>
        <w:rPr>
          <w:rFonts w:ascii="標楷體" w:eastAsia="標楷體" w:hAnsi="標楷體"/>
          <w:sz w:val="28"/>
          <w:szCs w:val="28"/>
        </w:rPr>
      </w:pPr>
      <w:r w:rsidRPr="003A2F4D">
        <w:rPr>
          <w:rFonts w:ascii="標楷體" w:eastAsia="標楷體" w:hAnsi="標楷體"/>
          <w:sz w:val="28"/>
          <w:szCs w:val="28"/>
        </w:rPr>
        <w:t>其他：</w:t>
      </w:r>
    </w:p>
    <w:p w:rsidR="003A2F4D" w:rsidRPr="003A2F4D" w:rsidRDefault="003A2F4D" w:rsidP="003A2F4D">
      <w:pPr>
        <w:numPr>
          <w:ilvl w:val="0"/>
          <w:numId w:val="45"/>
        </w:numPr>
        <w:spacing w:line="500" w:lineRule="exact"/>
        <w:jc w:val="both"/>
        <w:rPr>
          <w:rFonts w:ascii="標楷體" w:eastAsia="標楷體" w:hAnsi="標楷體"/>
          <w:sz w:val="28"/>
          <w:szCs w:val="28"/>
        </w:rPr>
      </w:pPr>
      <w:r w:rsidRPr="003A2F4D">
        <w:rPr>
          <w:rFonts w:ascii="標楷體" w:eastAsia="標楷體" w:hAnsi="標楷體" w:hint="eastAsia"/>
          <w:sz w:val="28"/>
          <w:szCs w:val="28"/>
        </w:rPr>
        <w:t>本研究案</w:t>
      </w:r>
      <w:r w:rsidRPr="003A2F4D">
        <w:rPr>
          <w:rFonts w:ascii="標楷體" w:eastAsia="標楷體" w:hAnsi="標楷體"/>
          <w:sz w:val="28"/>
          <w:szCs w:val="28"/>
        </w:rPr>
        <w:t>須經本會公共價值評量委員會議定並監督執行</w:t>
      </w:r>
      <w:r w:rsidRPr="003A2F4D">
        <w:rPr>
          <w:rFonts w:ascii="標楷體" w:eastAsia="標楷體" w:hAnsi="標楷體" w:hint="eastAsia"/>
          <w:sz w:val="28"/>
          <w:szCs w:val="28"/>
        </w:rPr>
        <w:t>，委託單位須</w:t>
      </w:r>
      <w:r w:rsidRPr="003A2F4D">
        <w:rPr>
          <w:rFonts w:ascii="標楷體" w:eastAsia="標楷體" w:hAnsi="標楷體"/>
          <w:sz w:val="28"/>
          <w:szCs w:val="28"/>
        </w:rPr>
        <w:t>配合進行相關簡報。</w:t>
      </w:r>
    </w:p>
    <w:p w:rsidR="003A2F4D" w:rsidRPr="003A2F4D" w:rsidRDefault="003A2F4D" w:rsidP="003A2F4D">
      <w:pPr>
        <w:numPr>
          <w:ilvl w:val="0"/>
          <w:numId w:val="45"/>
        </w:numPr>
        <w:spacing w:line="500" w:lineRule="exact"/>
        <w:jc w:val="both"/>
        <w:rPr>
          <w:rFonts w:ascii="標楷體" w:eastAsia="標楷體" w:hAnsi="標楷體"/>
          <w:sz w:val="28"/>
          <w:szCs w:val="28"/>
        </w:rPr>
      </w:pPr>
      <w:r w:rsidRPr="003A2F4D">
        <w:rPr>
          <w:rFonts w:ascii="標楷體" w:eastAsia="標楷體" w:hAnsi="標楷體"/>
          <w:sz w:val="28"/>
          <w:szCs w:val="28"/>
        </w:rPr>
        <w:t>需與委託單位協商樣本抽選，必要時需保留樣本的相關資料，以作為後續追蹤之用。</w:t>
      </w:r>
    </w:p>
    <w:p w:rsidR="003A2F4D" w:rsidRDefault="003A2F4D" w:rsidP="003A2F4D">
      <w:pPr>
        <w:spacing w:line="500" w:lineRule="exact"/>
        <w:jc w:val="both"/>
        <w:rPr>
          <w:rFonts w:ascii="標楷體" w:eastAsia="標楷體" w:hAnsi="標楷體"/>
          <w:sz w:val="28"/>
          <w:szCs w:val="28"/>
        </w:rPr>
      </w:pPr>
    </w:p>
    <w:p w:rsidR="00620F5D" w:rsidRDefault="00620F5D" w:rsidP="003A2F4D">
      <w:pPr>
        <w:spacing w:line="500" w:lineRule="exact"/>
        <w:jc w:val="both"/>
        <w:rPr>
          <w:rFonts w:ascii="標楷體" w:eastAsia="標楷體" w:hAnsi="標楷體"/>
          <w:sz w:val="28"/>
          <w:szCs w:val="28"/>
        </w:rPr>
      </w:pPr>
    </w:p>
    <w:p w:rsidR="00620F5D" w:rsidRPr="003A2F4D" w:rsidRDefault="00620F5D" w:rsidP="00620F5D">
      <w:pPr>
        <w:spacing w:line="500" w:lineRule="exact"/>
        <w:jc w:val="both"/>
        <w:rPr>
          <w:rFonts w:ascii="標楷體" w:eastAsia="標楷體" w:hAnsi="標楷體" w:hint="eastAsia"/>
          <w:sz w:val="28"/>
          <w:szCs w:val="28"/>
        </w:rPr>
      </w:pPr>
      <w:bookmarkStart w:id="0" w:name="_GoBack"/>
      <w:bookmarkEnd w:id="0"/>
    </w:p>
    <w:p w:rsidR="003A2F4D" w:rsidRDefault="003A2F4D" w:rsidP="003A2F4D">
      <w:pPr>
        <w:spacing w:line="500" w:lineRule="exact"/>
        <w:jc w:val="both"/>
        <w:rPr>
          <w:rFonts w:ascii="Times New Roman" w:hAnsi="Times New Roman" w:hint="eastAsia"/>
          <w:sz w:val="28"/>
          <w:szCs w:val="28"/>
        </w:rPr>
      </w:pPr>
    </w:p>
    <w:p w:rsidR="003A2F4D" w:rsidRDefault="003A2F4D" w:rsidP="003A2F4D">
      <w:pPr>
        <w:spacing w:line="500" w:lineRule="exact"/>
        <w:jc w:val="both"/>
        <w:rPr>
          <w:rFonts w:ascii="Times New Roman" w:hAnsi="Times New Roman"/>
          <w:sz w:val="28"/>
          <w:szCs w:val="28"/>
        </w:rPr>
        <w:sectPr w:rsidR="003A2F4D" w:rsidSect="0002451C">
          <w:footerReference w:type="even" r:id="rId8"/>
          <w:footerReference w:type="default" r:id="rId9"/>
          <w:pgSz w:w="11906" w:h="16838" w:code="9"/>
          <w:pgMar w:top="1418" w:right="1418" w:bottom="1418" w:left="1418" w:header="680" w:footer="680" w:gutter="0"/>
          <w:pgNumType w:start="1"/>
          <w:cols w:space="425"/>
          <w:docGrid w:type="linesAndChars" w:linePitch="360"/>
        </w:sectPr>
      </w:pPr>
    </w:p>
    <w:p w:rsidR="00E8323E" w:rsidRPr="00865BB6" w:rsidRDefault="00C4505E" w:rsidP="003836F0">
      <w:pPr>
        <w:jc w:val="center"/>
        <w:rPr>
          <w:rFonts w:ascii="Times New Roman" w:eastAsia="標楷體" w:hAnsi="Times New Roman" w:cs="Times New Roman"/>
          <w:sz w:val="28"/>
          <w:szCs w:val="28"/>
        </w:rPr>
      </w:pPr>
      <w:r>
        <w:rPr>
          <w:noProof/>
        </w:rPr>
        <w:lastRenderedPageBreak/>
        <w:pict>
          <v:shape id="文字方塊 2" o:spid="_x0000_s1026" type="#_x0000_t202" style="position:absolute;left:0;text-align:left;margin-left:407.85pt;margin-top:-34pt;width:61.6pt;height:25.8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style="mso-next-textbox:#文字方塊 2">
              <w:txbxContent>
                <w:p w:rsidR="008645B2" w:rsidRDefault="004044E3" w:rsidP="008645B2">
                  <w:pPr>
                    <w:jc w:val="center"/>
                  </w:pPr>
                  <w:r>
                    <w:rPr>
                      <w:rFonts w:hint="eastAsia"/>
                    </w:rPr>
                    <w:t>附件</w:t>
                  </w:r>
                </w:p>
              </w:txbxContent>
            </v:textbox>
            <w10:wrap type="square"/>
          </v:shape>
        </w:pict>
      </w:r>
      <w:r w:rsidR="003836F0">
        <w:rPr>
          <w:rFonts w:ascii="Times New Roman" w:eastAsia="標楷體" w:hAnsi="Times New Roman" w:cs="Times New Roman" w:hint="eastAsia"/>
          <w:sz w:val="28"/>
          <w:szCs w:val="28"/>
        </w:rPr>
        <w:t>2017</w:t>
      </w:r>
      <w:r w:rsidR="00411714">
        <w:rPr>
          <w:rFonts w:ascii="Times New Roman" w:eastAsia="標楷體" w:hAnsi="Times New Roman" w:cs="Times New Roman"/>
          <w:sz w:val="28"/>
          <w:szCs w:val="28"/>
        </w:rPr>
        <w:t>年度公共價值評量體系指標及資料界定範疇</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7"/>
        <w:gridCol w:w="3496"/>
        <w:gridCol w:w="710"/>
        <w:gridCol w:w="716"/>
        <w:gridCol w:w="843"/>
        <w:gridCol w:w="851"/>
        <w:gridCol w:w="707"/>
        <w:gridCol w:w="850"/>
      </w:tblGrid>
      <w:tr w:rsidR="00BD3AE1" w:rsidRPr="00BD3AE1" w:rsidTr="00EF77D2">
        <w:trPr>
          <w:trHeight w:val="385"/>
          <w:tblHeader/>
        </w:trPr>
        <w:tc>
          <w:tcPr>
            <w:tcW w:w="709" w:type="dxa"/>
            <w:vMerge w:val="restart"/>
            <w:tcBorders>
              <w:left w:val="single" w:sz="12" w:space="0" w:color="auto"/>
            </w:tcBorders>
            <w:shd w:val="clear" w:color="auto" w:fill="auto"/>
            <w:vAlign w:val="center"/>
          </w:tcPr>
          <w:p w:rsidR="00605994" w:rsidRPr="00B4272D" w:rsidRDefault="00605994" w:rsidP="00B4272D">
            <w:r w:rsidRPr="00B4272D">
              <w:t>構面</w:t>
            </w:r>
          </w:p>
        </w:tc>
        <w:tc>
          <w:tcPr>
            <w:tcW w:w="757" w:type="dxa"/>
            <w:vMerge w:val="restart"/>
            <w:tcBorders>
              <w:right w:val="single" w:sz="4" w:space="0" w:color="auto"/>
            </w:tcBorders>
            <w:shd w:val="clear" w:color="auto" w:fill="auto"/>
            <w:vAlign w:val="center"/>
          </w:tcPr>
          <w:p w:rsidR="00605994" w:rsidRPr="00B4272D" w:rsidRDefault="00605994" w:rsidP="00B4272D">
            <w:r w:rsidRPr="00B4272D">
              <w:t>指標名稱</w:t>
            </w:r>
          </w:p>
        </w:tc>
        <w:tc>
          <w:tcPr>
            <w:tcW w:w="3496" w:type="dxa"/>
            <w:vMerge w:val="restart"/>
            <w:tcBorders>
              <w:left w:val="single" w:sz="4" w:space="0" w:color="auto"/>
              <w:right w:val="single" w:sz="4" w:space="0" w:color="auto"/>
            </w:tcBorders>
            <w:shd w:val="clear" w:color="auto" w:fill="auto"/>
            <w:vAlign w:val="center"/>
          </w:tcPr>
          <w:p w:rsidR="00605994" w:rsidRPr="00B4272D" w:rsidRDefault="00FF1A04" w:rsidP="00B4272D">
            <w:r w:rsidRPr="00B4272D">
              <w:t>衡量方式／</w:t>
            </w:r>
            <w:r w:rsidR="00605994" w:rsidRPr="00B4272D">
              <w:t>資料界定範疇</w:t>
            </w:r>
          </w:p>
        </w:tc>
        <w:tc>
          <w:tcPr>
            <w:tcW w:w="1426" w:type="dxa"/>
            <w:gridSpan w:val="2"/>
            <w:tcBorders>
              <w:left w:val="single" w:sz="4" w:space="0" w:color="auto"/>
              <w:bottom w:val="single" w:sz="4" w:space="0" w:color="auto"/>
              <w:right w:val="single" w:sz="4" w:space="0" w:color="auto"/>
            </w:tcBorders>
            <w:vAlign w:val="center"/>
          </w:tcPr>
          <w:p w:rsidR="00605994" w:rsidRPr="00B4272D" w:rsidRDefault="00605994" w:rsidP="00EF77D2">
            <w:pPr>
              <w:jc w:val="center"/>
            </w:pPr>
            <w:r w:rsidRPr="00B4272D">
              <w:rPr>
                <w:rFonts w:hint="eastAsia"/>
              </w:rPr>
              <w:t>委外調查</w:t>
            </w:r>
          </w:p>
        </w:tc>
        <w:tc>
          <w:tcPr>
            <w:tcW w:w="843" w:type="dxa"/>
            <w:vMerge w:val="restart"/>
            <w:tcBorders>
              <w:left w:val="single" w:sz="4" w:space="0" w:color="auto"/>
              <w:right w:val="single" w:sz="4" w:space="0" w:color="auto"/>
            </w:tcBorders>
            <w:vAlign w:val="center"/>
          </w:tcPr>
          <w:p w:rsidR="00605994" w:rsidRPr="00B4272D" w:rsidRDefault="00605994" w:rsidP="00EF77D2">
            <w:pPr>
              <w:jc w:val="center"/>
            </w:pPr>
            <w:r w:rsidRPr="00B4272D">
              <w:rPr>
                <w:rFonts w:hint="eastAsia"/>
              </w:rPr>
              <w:t>既有資料</w:t>
            </w:r>
            <w:r w:rsidRPr="00B4272D">
              <w:footnoteReference w:id="1"/>
            </w:r>
          </w:p>
        </w:tc>
        <w:tc>
          <w:tcPr>
            <w:tcW w:w="2408" w:type="dxa"/>
            <w:gridSpan w:val="3"/>
            <w:tcBorders>
              <w:left w:val="single" w:sz="4" w:space="0" w:color="auto"/>
              <w:bottom w:val="single" w:sz="4" w:space="0" w:color="auto"/>
              <w:right w:val="single" w:sz="12" w:space="0" w:color="auto"/>
            </w:tcBorders>
            <w:vAlign w:val="center"/>
          </w:tcPr>
          <w:p w:rsidR="00605994" w:rsidRPr="00B4272D" w:rsidRDefault="00605994" w:rsidP="00EF77D2">
            <w:pPr>
              <w:jc w:val="center"/>
            </w:pPr>
            <w:r w:rsidRPr="00B4272D">
              <w:rPr>
                <w:rFonts w:hint="eastAsia"/>
              </w:rPr>
              <w:t>受評量電視台</w:t>
            </w:r>
          </w:p>
        </w:tc>
      </w:tr>
      <w:tr w:rsidR="00BD3AE1" w:rsidRPr="00BD3AE1" w:rsidTr="00EF77D2">
        <w:trPr>
          <w:trHeight w:val="461"/>
          <w:tblHeader/>
        </w:trPr>
        <w:tc>
          <w:tcPr>
            <w:tcW w:w="709" w:type="dxa"/>
            <w:vMerge/>
            <w:tcBorders>
              <w:left w:val="single" w:sz="12" w:space="0" w:color="auto"/>
            </w:tcBorders>
            <w:shd w:val="clear" w:color="auto" w:fill="auto"/>
            <w:vAlign w:val="center"/>
          </w:tcPr>
          <w:p w:rsidR="00605994" w:rsidRPr="00B4272D" w:rsidRDefault="00605994" w:rsidP="00B4272D"/>
        </w:tc>
        <w:tc>
          <w:tcPr>
            <w:tcW w:w="757" w:type="dxa"/>
            <w:vMerge/>
            <w:tcBorders>
              <w:bottom w:val="single" w:sz="4" w:space="0" w:color="auto"/>
              <w:right w:val="single" w:sz="4" w:space="0" w:color="auto"/>
            </w:tcBorders>
            <w:shd w:val="clear" w:color="auto" w:fill="auto"/>
            <w:vAlign w:val="center"/>
          </w:tcPr>
          <w:p w:rsidR="00605994" w:rsidRPr="00B4272D" w:rsidRDefault="00605994" w:rsidP="00B4272D"/>
        </w:tc>
        <w:tc>
          <w:tcPr>
            <w:tcW w:w="3496" w:type="dxa"/>
            <w:vMerge/>
            <w:tcBorders>
              <w:left w:val="single" w:sz="4" w:space="0" w:color="auto"/>
              <w:bottom w:val="single" w:sz="4" w:space="0" w:color="auto"/>
              <w:right w:val="single" w:sz="4" w:space="0" w:color="auto"/>
            </w:tcBorders>
            <w:shd w:val="clear" w:color="auto" w:fill="auto"/>
            <w:vAlign w:val="center"/>
          </w:tcPr>
          <w:p w:rsidR="00605994" w:rsidRPr="00B4272D" w:rsidRDefault="00605994" w:rsidP="00B4272D"/>
        </w:tc>
        <w:tc>
          <w:tcPr>
            <w:tcW w:w="710" w:type="dxa"/>
            <w:tcBorders>
              <w:left w:val="single" w:sz="4" w:space="0" w:color="auto"/>
              <w:bottom w:val="single" w:sz="4" w:space="0" w:color="auto"/>
              <w:right w:val="single" w:sz="4" w:space="0" w:color="auto"/>
            </w:tcBorders>
            <w:vAlign w:val="center"/>
          </w:tcPr>
          <w:p w:rsidR="00605994" w:rsidRPr="00B4272D" w:rsidRDefault="00605994" w:rsidP="00EF77D2">
            <w:pPr>
              <w:jc w:val="center"/>
            </w:pPr>
            <w:r w:rsidRPr="00B4272D">
              <w:rPr>
                <w:rFonts w:hint="eastAsia"/>
              </w:rPr>
              <w:t>質化</w:t>
            </w:r>
          </w:p>
        </w:tc>
        <w:tc>
          <w:tcPr>
            <w:tcW w:w="716" w:type="dxa"/>
            <w:tcBorders>
              <w:left w:val="single" w:sz="4" w:space="0" w:color="auto"/>
              <w:bottom w:val="single" w:sz="4" w:space="0" w:color="auto"/>
              <w:right w:val="single" w:sz="4" w:space="0" w:color="auto"/>
            </w:tcBorders>
            <w:vAlign w:val="center"/>
          </w:tcPr>
          <w:p w:rsidR="00605994" w:rsidRPr="00B4272D" w:rsidRDefault="00605994" w:rsidP="00EF77D2">
            <w:pPr>
              <w:jc w:val="center"/>
            </w:pPr>
            <w:r w:rsidRPr="00B4272D">
              <w:rPr>
                <w:rFonts w:hint="eastAsia"/>
              </w:rPr>
              <w:t>量化</w:t>
            </w:r>
          </w:p>
        </w:tc>
        <w:tc>
          <w:tcPr>
            <w:tcW w:w="843" w:type="dxa"/>
            <w:vMerge/>
            <w:tcBorders>
              <w:left w:val="single" w:sz="4" w:space="0" w:color="auto"/>
              <w:bottom w:val="single" w:sz="4" w:space="0" w:color="auto"/>
              <w:right w:val="single" w:sz="4" w:space="0" w:color="auto"/>
            </w:tcBorders>
            <w:vAlign w:val="center"/>
          </w:tcPr>
          <w:p w:rsidR="00605994" w:rsidRPr="00B4272D" w:rsidRDefault="00605994" w:rsidP="00EF77D2">
            <w:pPr>
              <w:jc w:val="center"/>
            </w:pPr>
          </w:p>
        </w:tc>
        <w:tc>
          <w:tcPr>
            <w:tcW w:w="851" w:type="dxa"/>
            <w:tcBorders>
              <w:left w:val="single" w:sz="4" w:space="0" w:color="auto"/>
              <w:bottom w:val="single" w:sz="4" w:space="0" w:color="auto"/>
              <w:right w:val="single" w:sz="4" w:space="0" w:color="auto"/>
            </w:tcBorders>
            <w:vAlign w:val="center"/>
          </w:tcPr>
          <w:p w:rsidR="00605994" w:rsidRPr="00B4272D" w:rsidRDefault="00605994" w:rsidP="00EF77D2">
            <w:pPr>
              <w:jc w:val="center"/>
            </w:pPr>
            <w:r w:rsidRPr="00B4272D">
              <w:rPr>
                <w:rFonts w:hint="eastAsia"/>
              </w:rPr>
              <w:t>公視</w:t>
            </w:r>
          </w:p>
        </w:tc>
        <w:tc>
          <w:tcPr>
            <w:tcW w:w="707" w:type="dxa"/>
            <w:tcBorders>
              <w:left w:val="single" w:sz="4" w:space="0" w:color="auto"/>
              <w:bottom w:val="single" w:sz="4" w:space="0" w:color="auto"/>
              <w:right w:val="single" w:sz="4" w:space="0" w:color="auto"/>
            </w:tcBorders>
            <w:vAlign w:val="center"/>
          </w:tcPr>
          <w:p w:rsidR="00605994" w:rsidRPr="00B4272D" w:rsidRDefault="00605994" w:rsidP="00EF77D2">
            <w:pPr>
              <w:jc w:val="center"/>
            </w:pPr>
            <w:r w:rsidRPr="00B4272D">
              <w:rPr>
                <w:rFonts w:hint="eastAsia"/>
              </w:rPr>
              <w:t>華視</w:t>
            </w:r>
          </w:p>
        </w:tc>
        <w:tc>
          <w:tcPr>
            <w:tcW w:w="850" w:type="dxa"/>
            <w:tcBorders>
              <w:left w:val="single" w:sz="4" w:space="0" w:color="auto"/>
              <w:bottom w:val="single" w:sz="4" w:space="0" w:color="auto"/>
              <w:right w:val="single" w:sz="12" w:space="0" w:color="auto"/>
            </w:tcBorders>
            <w:vAlign w:val="center"/>
          </w:tcPr>
          <w:p w:rsidR="00605994" w:rsidRPr="00B4272D" w:rsidRDefault="00605994" w:rsidP="00EF77D2">
            <w:pPr>
              <w:jc w:val="center"/>
            </w:pPr>
            <w:r w:rsidRPr="00B4272D">
              <w:rPr>
                <w:rFonts w:hint="eastAsia"/>
              </w:rPr>
              <w:t>客台</w:t>
            </w:r>
          </w:p>
        </w:tc>
      </w:tr>
      <w:tr w:rsidR="00BD3AE1" w:rsidRPr="00BD3AE1" w:rsidTr="00EF77D2">
        <w:trPr>
          <w:trHeight w:val="667"/>
        </w:trPr>
        <w:tc>
          <w:tcPr>
            <w:tcW w:w="709" w:type="dxa"/>
            <w:vMerge w:val="restart"/>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觸達</w:t>
            </w:r>
          </w:p>
        </w:tc>
        <w:tc>
          <w:tcPr>
            <w:tcW w:w="757" w:type="dxa"/>
            <w:vMerge w:val="restart"/>
            <w:tcBorders>
              <w:right w:val="single" w:sz="4" w:space="0" w:color="auto"/>
            </w:tcBorders>
            <w:shd w:val="clear" w:color="auto" w:fill="auto"/>
            <w:vAlign w:val="center"/>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收視率</w:t>
            </w:r>
          </w:p>
        </w:tc>
        <w:tc>
          <w:tcPr>
            <w:tcW w:w="3496" w:type="dxa"/>
            <w:tcBorders>
              <w:left w:val="single" w:sz="4" w:space="0" w:color="auto"/>
              <w:bottom w:val="single" w:sz="4" w:space="0" w:color="auto"/>
              <w:right w:val="single" w:sz="4" w:space="0" w:color="auto"/>
            </w:tcBorders>
            <w:shd w:val="clear" w:color="auto" w:fill="auto"/>
          </w:tcPr>
          <w:p w:rsidR="004F609F" w:rsidRPr="00BD3AE1" w:rsidRDefault="004F609F" w:rsidP="00605994">
            <w:pPr>
              <w:spacing w:line="440" w:lineRule="exact"/>
              <w:rPr>
                <w:rFonts w:ascii="Times New Roman" w:eastAsia="標楷體" w:hAnsi="Times New Roman" w:cs="Times New Roman"/>
              </w:rPr>
            </w:pPr>
            <w:r w:rsidRPr="00BD3AE1">
              <w:rPr>
                <w:rFonts w:ascii="Times New Roman" w:eastAsia="標楷體" w:hAnsi="Times New Roman" w:cs="Times New Roman"/>
              </w:rPr>
              <w:t>AGB</w:t>
            </w:r>
            <w:r w:rsidRPr="00BD3AE1">
              <w:rPr>
                <w:rFonts w:ascii="Times New Roman" w:eastAsia="標楷體" w:hAnsi="Times New Roman" w:cs="Times New Roman"/>
              </w:rPr>
              <w:t>尼爾森調查數據</w:t>
            </w:r>
            <w:r w:rsidRPr="00BD3AE1">
              <w:rPr>
                <w:rStyle w:val="a5"/>
                <w:rFonts w:ascii="Times New Roman" w:eastAsia="標楷體" w:hAnsi="Times New Roman" w:cs="Times New Roman"/>
              </w:rPr>
              <w:footnoteReference w:id="2"/>
            </w:r>
            <w:r w:rsidRPr="00BD3AE1">
              <w:rPr>
                <w:rFonts w:ascii="Times New Roman" w:eastAsia="標楷體" w:hAnsi="Times New Roman" w:cs="Times New Roman"/>
              </w:rPr>
              <w:t>歷年比較</w:t>
            </w:r>
          </w:p>
        </w:tc>
        <w:tc>
          <w:tcPr>
            <w:tcW w:w="710"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716"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843" w:type="dxa"/>
            <w:tcBorders>
              <w:left w:val="single" w:sz="4" w:space="0" w:color="auto"/>
              <w:bottom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bottom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bottom w:val="single" w:sz="4" w:space="0" w:color="auto"/>
              <w:right w:val="single" w:sz="4" w:space="0" w:color="auto"/>
            </w:tcBorders>
            <w:vAlign w:val="center"/>
          </w:tcPr>
          <w:p w:rsidR="004F609F" w:rsidRPr="00BD3AE1" w:rsidRDefault="004F609F" w:rsidP="008643EA">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bottom w:val="single" w:sz="4" w:space="0" w:color="auto"/>
              <w:right w:val="single" w:sz="12"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r>
      <w:tr w:rsidR="00BD3AE1" w:rsidRPr="00BD3AE1" w:rsidTr="00EF77D2">
        <w:trPr>
          <w:trHeight w:val="549"/>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bottom w:val="single" w:sz="4" w:space="0" w:color="auto"/>
              <w:right w:val="single" w:sz="4"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bottom w:val="single" w:sz="4" w:space="0" w:color="auto"/>
              <w:right w:val="single" w:sz="4" w:space="0" w:color="auto"/>
            </w:tcBorders>
            <w:shd w:val="clear" w:color="auto" w:fill="auto"/>
          </w:tcPr>
          <w:p w:rsidR="004F609F" w:rsidRPr="00BD3AE1" w:rsidRDefault="004F609F" w:rsidP="00F049F9">
            <w:pPr>
              <w:spacing w:line="440" w:lineRule="exact"/>
              <w:rPr>
                <w:rFonts w:ascii="Times New Roman" w:eastAsia="標楷體" w:hAnsi="Times New Roman" w:cs="Times New Roman"/>
              </w:rPr>
            </w:pPr>
            <w:r w:rsidRPr="00BD3AE1">
              <w:rPr>
                <w:rFonts w:ascii="Times New Roman" w:eastAsia="標楷體" w:hAnsi="Times New Roman" w:cs="Times New Roman"/>
              </w:rPr>
              <w:t>客庄地區一週電視收視率</w:t>
            </w:r>
            <w:r w:rsidRPr="00BD3AE1">
              <w:rPr>
                <w:rStyle w:val="a5"/>
                <w:rFonts w:ascii="Times New Roman" w:eastAsia="標楷體" w:hAnsi="Times New Roman" w:cs="Times New Roman"/>
              </w:rPr>
              <w:footnoteReference w:id="3"/>
            </w:r>
          </w:p>
        </w:tc>
        <w:tc>
          <w:tcPr>
            <w:tcW w:w="710"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716"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851"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707" w:type="dxa"/>
            <w:tcBorders>
              <w:left w:val="single" w:sz="4" w:space="0" w:color="auto"/>
              <w:bottom w:val="single" w:sz="4" w:space="0" w:color="auto"/>
              <w:right w:val="single" w:sz="4" w:space="0" w:color="auto"/>
            </w:tcBorders>
            <w:vAlign w:val="center"/>
          </w:tcPr>
          <w:p w:rsidR="004F609F" w:rsidRPr="00BD3AE1" w:rsidRDefault="004F609F" w:rsidP="00C02A3C">
            <w:pPr>
              <w:spacing w:line="440" w:lineRule="exact"/>
              <w:jc w:val="center"/>
              <w:rPr>
                <w:rFonts w:ascii="標楷體" w:eastAsia="標楷體" w:hAnsi="標楷體" w:cs="Times New Roman"/>
              </w:rPr>
            </w:pPr>
          </w:p>
        </w:tc>
        <w:tc>
          <w:tcPr>
            <w:tcW w:w="850" w:type="dxa"/>
            <w:tcBorders>
              <w:left w:val="single" w:sz="4" w:space="0" w:color="auto"/>
              <w:bottom w:val="single" w:sz="4" w:space="0" w:color="auto"/>
              <w:right w:val="single" w:sz="12" w:space="0" w:color="auto"/>
            </w:tcBorders>
            <w:vAlign w:val="center"/>
          </w:tcPr>
          <w:p w:rsidR="004F609F" w:rsidRPr="00BD3AE1" w:rsidRDefault="004F609F" w:rsidP="00C02A3C">
            <w:pPr>
              <w:spacing w:line="440" w:lineRule="exact"/>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hRule="exact" w:val="583"/>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val="restart"/>
            <w:tcBorders>
              <w:top w:val="single" w:sz="4" w:space="0" w:color="auto"/>
              <w:right w:val="single" w:sz="4" w:space="0" w:color="auto"/>
            </w:tcBorders>
            <w:shd w:val="clear" w:color="auto" w:fill="auto"/>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觸達率</w:t>
            </w:r>
          </w:p>
        </w:tc>
        <w:tc>
          <w:tcPr>
            <w:tcW w:w="3496" w:type="dxa"/>
            <w:tcBorders>
              <w:top w:val="single" w:sz="4" w:space="0" w:color="auto"/>
              <w:left w:val="single" w:sz="4" w:space="0" w:color="auto"/>
              <w:right w:val="single" w:sz="4" w:space="0" w:color="auto"/>
            </w:tcBorders>
            <w:shd w:val="clear" w:color="auto" w:fill="auto"/>
            <w:vAlign w:val="center"/>
          </w:tcPr>
          <w:p w:rsidR="004F609F" w:rsidRPr="00BD3AE1" w:rsidRDefault="004F609F" w:rsidP="00C02A3C">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1"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top w:val="single" w:sz="4" w:space="0" w:color="auto"/>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hRule="exact" w:val="641"/>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top w:val="single" w:sz="4" w:space="0" w:color="auto"/>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top w:val="single" w:sz="4" w:space="0" w:color="auto"/>
              <w:left w:val="single" w:sz="4" w:space="0" w:color="auto"/>
              <w:right w:val="single" w:sz="4" w:space="0" w:color="auto"/>
            </w:tcBorders>
            <w:shd w:val="clear" w:color="auto" w:fill="auto"/>
            <w:vAlign w:val="center"/>
          </w:tcPr>
          <w:p w:rsidR="004F609F" w:rsidRPr="00BD3AE1" w:rsidRDefault="004F609F" w:rsidP="00C02A3C">
            <w:pPr>
              <w:rPr>
                <w:rFonts w:ascii="Times New Roman" w:eastAsia="標楷體" w:hAnsi="Times New Roman" w:cs="Times New Roman"/>
              </w:rPr>
            </w:pPr>
            <w:r w:rsidRPr="00BD3AE1">
              <w:rPr>
                <w:rFonts w:ascii="Times New Roman" w:eastAsia="標楷體" w:hAnsi="Times New Roman" w:cs="Times New Roman"/>
              </w:rPr>
              <w:t>AGB</w:t>
            </w:r>
            <w:r w:rsidRPr="00BD3AE1">
              <w:rPr>
                <w:rFonts w:ascii="Times New Roman" w:eastAsia="標楷體" w:hAnsi="Times New Roman" w:cs="Times New Roman"/>
              </w:rPr>
              <w:t>尼爾森調查數據歷年比較</w:t>
            </w:r>
          </w:p>
        </w:tc>
        <w:tc>
          <w:tcPr>
            <w:tcW w:w="710"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top w:val="single" w:sz="4" w:space="0" w:color="auto"/>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top w:val="single" w:sz="4" w:space="0" w:color="auto"/>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top w:val="single" w:sz="4" w:space="0" w:color="auto"/>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val="687"/>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top w:val="single" w:sz="4" w:space="0" w:color="auto"/>
              <w:left w:val="single" w:sz="4" w:space="0" w:color="auto"/>
              <w:right w:val="single" w:sz="4" w:space="0" w:color="auto"/>
            </w:tcBorders>
            <w:shd w:val="clear" w:color="auto" w:fill="auto"/>
            <w:vAlign w:val="center"/>
          </w:tcPr>
          <w:p w:rsidR="004F609F" w:rsidRPr="00BD3AE1" w:rsidRDefault="004F609F" w:rsidP="00F049F9">
            <w:pPr>
              <w:rPr>
                <w:rFonts w:ascii="Times New Roman" w:eastAsia="標楷體" w:hAnsi="Times New Roman" w:cs="Times New Roman"/>
              </w:rPr>
            </w:pPr>
            <w:r w:rsidRPr="00BD3AE1">
              <w:rPr>
                <w:rFonts w:ascii="Times New Roman" w:eastAsia="標楷體" w:hAnsi="Times New Roman" w:cs="Times New Roman"/>
              </w:rPr>
              <w:t>收視質研究（觸達率調查）</w:t>
            </w:r>
          </w:p>
        </w:tc>
        <w:tc>
          <w:tcPr>
            <w:tcW w:w="710"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07" w:type="dxa"/>
            <w:tcBorders>
              <w:top w:val="single" w:sz="4" w:space="0" w:color="auto"/>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0" w:type="dxa"/>
            <w:tcBorders>
              <w:top w:val="single" w:sz="4" w:space="0" w:color="auto"/>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717"/>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收看時數</w:t>
            </w:r>
          </w:p>
        </w:tc>
        <w:tc>
          <w:tcPr>
            <w:tcW w:w="3496" w:type="dxa"/>
            <w:tcBorders>
              <w:left w:val="single" w:sz="4" w:space="0" w:color="auto"/>
              <w:right w:val="single" w:sz="4" w:space="0" w:color="auto"/>
            </w:tcBorders>
            <w:shd w:val="clear" w:color="auto" w:fill="auto"/>
            <w:vAlign w:val="center"/>
          </w:tcPr>
          <w:p w:rsidR="004F609F" w:rsidRPr="00BD3AE1" w:rsidRDefault="004F609F" w:rsidP="00C02A3C">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val="594"/>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AGB</w:t>
            </w:r>
            <w:r w:rsidRPr="00BD3AE1">
              <w:rPr>
                <w:rFonts w:ascii="Times New Roman" w:eastAsia="標楷體" w:hAnsi="Times New Roman" w:cs="Times New Roman"/>
              </w:rPr>
              <w:t>尼爾森調查數據歷年比較</w:t>
            </w:r>
          </w:p>
        </w:tc>
        <w:tc>
          <w:tcPr>
            <w:tcW w:w="710" w:type="dxa"/>
            <w:tcBorders>
              <w:left w:val="single" w:sz="4" w:space="0" w:color="auto"/>
              <w:right w:val="single" w:sz="4" w:space="0" w:color="auto"/>
            </w:tcBorders>
            <w:vAlign w:val="center"/>
          </w:tcPr>
          <w:p w:rsidR="004F609F" w:rsidRPr="00BD3AE1" w:rsidRDefault="004F609F"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587687">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val="616"/>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E55926">
            <w:pPr>
              <w:rPr>
                <w:rFonts w:ascii="Times New Roman" w:eastAsia="標楷體" w:hAnsi="Times New Roman" w:cs="Times New Roman"/>
              </w:rPr>
            </w:pPr>
            <w:r w:rsidRPr="00BD3AE1">
              <w:rPr>
                <w:rFonts w:ascii="Times New Roman" w:eastAsia="標楷體" w:hAnsi="Times New Roman" w:cs="Times New Roman"/>
              </w:rPr>
              <w:t>收視質研究（收看時數調查）</w:t>
            </w:r>
          </w:p>
        </w:tc>
        <w:tc>
          <w:tcPr>
            <w:tcW w:w="710"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3098"/>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r w:rsidRPr="00BD3AE1">
              <w:rPr>
                <w:rFonts w:ascii="Times New Roman" w:eastAsia="標楷體" w:hAnsi="Times New Roman" w:cs="Times New Roman"/>
              </w:rPr>
              <w:t>新平台觸達率</w:t>
            </w:r>
          </w:p>
        </w:tc>
        <w:tc>
          <w:tcPr>
            <w:tcW w:w="3496" w:type="dxa"/>
            <w:tcBorders>
              <w:left w:val="single" w:sz="4" w:space="0" w:color="auto"/>
              <w:right w:val="single" w:sz="4" w:space="0" w:color="auto"/>
            </w:tcBorders>
            <w:shd w:val="clear" w:color="auto" w:fill="auto"/>
            <w:vAlign w:val="center"/>
          </w:tcPr>
          <w:p w:rsidR="004F609F" w:rsidRPr="00BD3AE1" w:rsidRDefault="004F609F" w:rsidP="00B5028B">
            <w:pPr>
              <w:pStyle w:val="aa"/>
              <w:numPr>
                <w:ilvl w:val="0"/>
                <w:numId w:val="20"/>
              </w:numPr>
              <w:ind w:leftChars="0"/>
              <w:rPr>
                <w:rFonts w:ascii="Times New Roman" w:eastAsia="標楷體" w:hAnsi="Times New Roman" w:cs="Times New Roman"/>
              </w:rPr>
            </w:pPr>
            <w:r w:rsidRPr="00BD3AE1">
              <w:rPr>
                <w:rFonts w:ascii="Times New Roman" w:eastAsia="標楷體" w:hAnsi="Times New Roman" w:cs="Times New Roman"/>
              </w:rPr>
              <w:t>各網站全年平均每月到訪人次</w:t>
            </w:r>
            <w:r w:rsidRPr="00BD3AE1">
              <w:rPr>
                <w:rFonts w:ascii="Times New Roman" w:eastAsia="標楷體" w:hAnsi="Times New Roman" w:cs="Times New Roman" w:hint="eastAsia"/>
              </w:rPr>
              <w:t>：以造訪人次</w:t>
            </w:r>
            <w:r w:rsidRPr="00BD3AE1">
              <w:rPr>
                <w:rFonts w:ascii="Times New Roman" w:eastAsia="標楷體" w:hAnsi="Times New Roman" w:cs="Times New Roman" w:hint="eastAsia"/>
              </w:rPr>
              <w:t>(visit)</w:t>
            </w:r>
            <w:r w:rsidRPr="00BD3AE1">
              <w:rPr>
                <w:rFonts w:ascii="Times New Roman" w:eastAsia="標楷體" w:hAnsi="Times New Roman" w:cs="Times New Roman" w:hint="eastAsia"/>
              </w:rPr>
              <w:t>計算</w:t>
            </w:r>
          </w:p>
          <w:p w:rsidR="004F609F" w:rsidRPr="00BD3AE1" w:rsidRDefault="004F609F" w:rsidP="00896188">
            <w:pPr>
              <w:pStyle w:val="aa"/>
              <w:numPr>
                <w:ilvl w:val="0"/>
                <w:numId w:val="20"/>
              </w:numPr>
              <w:ind w:leftChars="0"/>
              <w:rPr>
                <w:rFonts w:ascii="Times New Roman" w:eastAsia="標楷體" w:hAnsi="Times New Roman" w:cs="Times New Roman"/>
              </w:rPr>
            </w:pPr>
            <w:r w:rsidRPr="00BD3AE1">
              <w:rPr>
                <w:rFonts w:ascii="Times New Roman" w:eastAsia="標楷體" w:hAnsi="Times New Roman" w:cs="Times New Roman"/>
              </w:rPr>
              <w:t>電子報訂戶</w:t>
            </w:r>
            <w:r w:rsidRPr="00BD3AE1">
              <w:rPr>
                <w:rStyle w:val="a5"/>
                <w:rFonts w:ascii="Times New Roman" w:eastAsia="標楷體" w:hAnsi="Times New Roman" w:cs="Times New Roman"/>
              </w:rPr>
              <w:footnoteReference w:id="4"/>
            </w:r>
          </w:p>
          <w:p w:rsidR="002C7781" w:rsidRPr="00BD3AE1" w:rsidRDefault="004F609F" w:rsidP="002C7781">
            <w:pPr>
              <w:pStyle w:val="aa"/>
              <w:numPr>
                <w:ilvl w:val="0"/>
                <w:numId w:val="20"/>
              </w:numPr>
              <w:ind w:leftChars="0"/>
              <w:rPr>
                <w:rFonts w:ascii="Times New Roman" w:eastAsia="標楷體" w:hAnsi="Times New Roman" w:cs="Times New Roman"/>
              </w:rPr>
            </w:pPr>
            <w:r w:rsidRPr="00BD3AE1">
              <w:rPr>
                <w:rFonts w:ascii="Times New Roman" w:eastAsia="標楷體" w:hAnsi="Times New Roman" w:cs="Times New Roman" w:hint="eastAsia"/>
              </w:rPr>
              <w:t>影音（含官網、</w:t>
            </w:r>
            <w:r w:rsidRPr="00BD3AE1">
              <w:rPr>
                <w:rFonts w:ascii="Times New Roman" w:eastAsia="標楷體" w:hAnsi="Times New Roman" w:cs="Times New Roman" w:hint="eastAsia"/>
              </w:rPr>
              <w:t>YouTube</w:t>
            </w:r>
            <w:r w:rsidR="00063D02" w:rsidRPr="00BD3AE1">
              <w:rPr>
                <w:rFonts w:ascii="Times New Roman" w:eastAsia="標楷體" w:hAnsi="Times New Roman" w:cs="Times New Roman" w:hint="eastAsia"/>
              </w:rPr>
              <w:t>、</w:t>
            </w:r>
            <w:r w:rsidR="00063D02" w:rsidRPr="00BD3AE1">
              <w:rPr>
                <w:rFonts w:ascii="Times New Roman" w:eastAsia="標楷體" w:hAnsi="Times New Roman" w:cs="Times New Roman" w:hint="eastAsia"/>
              </w:rPr>
              <w:t>OTT</w:t>
            </w:r>
            <w:r w:rsidRPr="00BD3AE1">
              <w:rPr>
                <w:rFonts w:ascii="Times New Roman" w:eastAsia="標楷體" w:hAnsi="Times New Roman" w:cs="Times New Roman" w:hint="eastAsia"/>
              </w:rPr>
              <w:t>）</w:t>
            </w:r>
            <w:r w:rsidR="002C7781" w:rsidRPr="00BD3AE1">
              <w:rPr>
                <w:rStyle w:val="a5"/>
                <w:rFonts w:ascii="Times New Roman" w:eastAsia="標楷體" w:hAnsi="Times New Roman" w:cs="Times New Roman"/>
              </w:rPr>
              <w:footnoteReference w:id="5"/>
            </w:r>
            <w:r w:rsidRPr="00BD3AE1">
              <w:rPr>
                <w:rFonts w:ascii="Times New Roman" w:eastAsia="標楷體" w:hAnsi="Times New Roman" w:cs="Times New Roman" w:hint="eastAsia"/>
              </w:rPr>
              <w:t>每月點閱次數統計</w:t>
            </w:r>
          </w:p>
          <w:p w:rsidR="004F609F" w:rsidRDefault="004F609F" w:rsidP="002C7781">
            <w:pPr>
              <w:pStyle w:val="aa"/>
              <w:numPr>
                <w:ilvl w:val="0"/>
                <w:numId w:val="20"/>
              </w:numPr>
              <w:ind w:leftChars="0"/>
              <w:rPr>
                <w:rFonts w:ascii="Times New Roman" w:eastAsia="標楷體" w:hAnsi="Times New Roman" w:cs="Times New Roman"/>
              </w:rPr>
            </w:pPr>
            <w:r w:rsidRPr="00BD3AE1">
              <w:rPr>
                <w:rFonts w:ascii="Times New Roman" w:eastAsia="標楷體" w:hAnsi="Times New Roman" w:cs="Times New Roman" w:hint="eastAsia"/>
              </w:rPr>
              <w:t>Facebook</w:t>
            </w:r>
            <w:r w:rsidRPr="00BD3AE1">
              <w:rPr>
                <w:rFonts w:ascii="Times New Roman" w:eastAsia="標楷體" w:hAnsi="Times New Roman" w:cs="Times New Roman" w:hint="eastAsia"/>
              </w:rPr>
              <w:t>粉絲數</w:t>
            </w:r>
            <w:r w:rsidRPr="00BD3AE1">
              <w:rPr>
                <w:rFonts w:ascii="Times New Roman" w:eastAsia="標楷體" w:hAnsi="Times New Roman" w:cs="Times New Roman" w:hint="eastAsia"/>
              </w:rPr>
              <w:t>/</w:t>
            </w:r>
            <w:r w:rsidRPr="00BD3AE1">
              <w:rPr>
                <w:rFonts w:ascii="Times New Roman" w:eastAsia="標楷體" w:hAnsi="Times New Roman" w:cs="Times New Roman" w:hint="eastAsia"/>
              </w:rPr>
              <w:t>總觸及人數</w:t>
            </w:r>
            <w:r w:rsidRPr="00BD3AE1">
              <w:rPr>
                <w:rFonts w:ascii="Times New Roman" w:eastAsia="標楷體" w:hAnsi="Times New Roman" w:cs="Times New Roman" w:hint="eastAsia"/>
              </w:rPr>
              <w:t>/</w:t>
            </w:r>
            <w:r w:rsidRPr="00BD3AE1">
              <w:rPr>
                <w:rFonts w:ascii="Times New Roman" w:eastAsia="標楷體" w:hAnsi="Times New Roman" w:cs="Times New Roman" w:hint="eastAsia"/>
              </w:rPr>
              <w:t>總瀏覽數</w:t>
            </w:r>
            <w:r w:rsidRPr="00BD3AE1">
              <w:rPr>
                <w:rStyle w:val="a5"/>
                <w:rFonts w:ascii="Times New Roman" w:eastAsia="標楷體" w:hAnsi="Times New Roman" w:cs="Times New Roman"/>
              </w:rPr>
              <w:footnoteReference w:id="6"/>
            </w:r>
          </w:p>
          <w:p w:rsidR="00C755D7" w:rsidRPr="00BD3AE1" w:rsidRDefault="00C755D7" w:rsidP="00C755D7">
            <w:pPr>
              <w:pStyle w:val="aa"/>
              <w:numPr>
                <w:ilvl w:val="0"/>
                <w:numId w:val="20"/>
              </w:numPr>
              <w:ind w:leftChars="0"/>
              <w:rPr>
                <w:rFonts w:ascii="Times New Roman" w:eastAsia="標楷體" w:hAnsi="Times New Roman" w:cs="Times New Roman"/>
              </w:rPr>
            </w:pPr>
            <w:r w:rsidRPr="00C755D7">
              <w:rPr>
                <w:rFonts w:ascii="Times New Roman" w:eastAsia="標楷體" w:hAnsi="Times New Roman" w:cs="Times New Roman" w:hint="eastAsia"/>
              </w:rPr>
              <w:t>其他多元平台接觸率</w:t>
            </w:r>
          </w:p>
        </w:tc>
        <w:tc>
          <w:tcPr>
            <w:tcW w:w="710"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3D19B2">
            <w:pPr>
              <w:rPr>
                <w:rFonts w:ascii="Times New Roman" w:eastAsia="標楷體" w:hAnsi="Times New Roman" w:cs="Times New Roman"/>
              </w:rPr>
            </w:pPr>
            <w:r w:rsidRPr="00BD3AE1">
              <w:rPr>
                <w:rFonts w:ascii="Times New Roman" w:eastAsia="標楷體" w:hAnsi="Times New Roman" w:cs="Times New Roman"/>
              </w:rPr>
              <w:t>各網站合作連結狀態</w:t>
            </w:r>
          </w:p>
        </w:tc>
        <w:tc>
          <w:tcPr>
            <w:tcW w:w="710"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827"/>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9F4655">
            <w:pPr>
              <w:rPr>
                <w:rFonts w:ascii="Times New Roman" w:eastAsia="標楷體" w:hAnsi="Times New Roman" w:cs="Times New Roman"/>
              </w:rPr>
            </w:pPr>
            <w:r w:rsidRPr="00BD3AE1">
              <w:rPr>
                <w:rFonts w:ascii="Times New Roman" w:eastAsia="標楷體" w:hAnsi="Times New Roman" w:cs="Times New Roman"/>
              </w:rPr>
              <w:t>行動網頁平均每月到訪人次或</w:t>
            </w:r>
            <w:r w:rsidRPr="00BD3AE1">
              <w:rPr>
                <w:rFonts w:ascii="Times New Roman" w:eastAsia="標楷體" w:hAnsi="Times New Roman" w:cs="Times New Roman"/>
              </w:rPr>
              <w:t>APP</w:t>
            </w:r>
            <w:r w:rsidRPr="00BD3AE1">
              <w:rPr>
                <w:rFonts w:ascii="Times New Roman" w:eastAsia="標楷體" w:hAnsi="Times New Roman" w:cs="Times New Roman"/>
              </w:rPr>
              <w:t>下載次數</w:t>
            </w:r>
          </w:p>
        </w:tc>
        <w:tc>
          <w:tcPr>
            <w:tcW w:w="710"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val="980"/>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9F4655">
            <w:pPr>
              <w:rPr>
                <w:rFonts w:ascii="Times New Roman" w:eastAsia="標楷體" w:hAnsi="Times New Roman" w:cs="Times New Roman"/>
              </w:rPr>
            </w:pPr>
            <w:r w:rsidRPr="00BD3AE1">
              <w:rPr>
                <w:rFonts w:ascii="Times New Roman" w:eastAsia="標楷體" w:hAnsi="Times New Roman" w:cs="Times New Roman" w:hint="eastAsia"/>
              </w:rPr>
              <w:t>網路會員數、</w:t>
            </w:r>
            <w:r w:rsidRPr="00BD3AE1">
              <w:rPr>
                <w:rFonts w:ascii="Times New Roman" w:eastAsia="標楷體" w:hAnsi="Times New Roman" w:cs="Times New Roman"/>
              </w:rPr>
              <w:t>Peopo</w:t>
            </w:r>
            <w:r w:rsidRPr="00BD3AE1">
              <w:rPr>
                <w:rFonts w:ascii="Times New Roman" w:eastAsia="標楷體" w:hAnsi="Times New Roman" w:cs="Times New Roman" w:hint="eastAsia"/>
              </w:rPr>
              <w:t>註冊人數及產出之報導則數</w:t>
            </w:r>
          </w:p>
        </w:tc>
        <w:tc>
          <w:tcPr>
            <w:tcW w:w="710"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4F609F" w:rsidRPr="00BD3AE1" w:rsidRDefault="004F609F" w:rsidP="00C02A3C">
            <w:pPr>
              <w:jc w:val="center"/>
              <w:rPr>
                <w:rFonts w:ascii="標楷體" w:eastAsia="標楷體" w:hAnsi="標楷體" w:cs="Times New Roman"/>
              </w:rPr>
            </w:pPr>
          </w:p>
        </w:tc>
      </w:tr>
      <w:tr w:rsidR="00BD3AE1" w:rsidRPr="00BD3AE1" w:rsidTr="00EF77D2">
        <w:trPr>
          <w:trHeight w:val="924"/>
        </w:trPr>
        <w:tc>
          <w:tcPr>
            <w:tcW w:w="709" w:type="dxa"/>
            <w:vMerge/>
            <w:tcBorders>
              <w:left w:val="single" w:sz="12" w:space="0" w:color="auto"/>
            </w:tcBorders>
            <w:shd w:val="clear" w:color="auto" w:fill="auto"/>
            <w:vAlign w:val="center"/>
          </w:tcPr>
          <w:p w:rsidR="004F609F" w:rsidRPr="00BD3AE1" w:rsidRDefault="004F609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4F609F" w:rsidP="00B5028B">
            <w:pPr>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新媒體平台觸達人次</w:t>
            </w:r>
            <w:r w:rsidRPr="00BD3AE1">
              <w:rPr>
                <w:rFonts w:ascii="Times New Roman" w:eastAsia="標楷體" w:hAnsi="Times New Roman" w:cs="Times New Roman"/>
              </w:rPr>
              <w:t>)</w:t>
            </w:r>
            <w:r w:rsidRPr="00BD3AE1">
              <w:rPr>
                <w:rFonts w:ascii="Times New Roman" w:eastAsia="標楷體" w:hAnsi="Times New Roman" w:cs="Times New Roman"/>
              </w:rPr>
              <w:t>達成情形</w:t>
            </w:r>
          </w:p>
        </w:tc>
        <w:tc>
          <w:tcPr>
            <w:tcW w:w="710"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B5028B">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4F609F" w:rsidRPr="00BD3AE1" w:rsidRDefault="004F609F" w:rsidP="00C02A3C">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4F609F" w:rsidRPr="00BD3AE1" w:rsidRDefault="004F609F" w:rsidP="00B5028B">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1424"/>
        </w:trPr>
        <w:tc>
          <w:tcPr>
            <w:tcW w:w="709" w:type="dxa"/>
            <w:vMerge/>
            <w:tcBorders>
              <w:left w:val="single" w:sz="12" w:space="0" w:color="auto"/>
            </w:tcBorders>
            <w:shd w:val="clear" w:color="auto" w:fill="auto"/>
            <w:vAlign w:val="center"/>
          </w:tcPr>
          <w:p w:rsidR="004F609F" w:rsidRPr="00BD3AE1" w:rsidRDefault="004F609F" w:rsidP="00D534C0">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D534C0">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AC3B6A" w:rsidRPr="00BD3AE1" w:rsidRDefault="004F609F" w:rsidP="00AC3B6A">
            <w:pPr>
              <w:rPr>
                <w:rFonts w:ascii="Times New Roman" w:eastAsia="標楷體" w:hAnsi="Times New Roman" w:cs="Times New Roman"/>
              </w:rPr>
            </w:pPr>
            <w:r w:rsidRPr="00BD3AE1">
              <w:rPr>
                <w:rFonts w:ascii="Times New Roman" w:eastAsia="標楷體" w:hAnsi="Times New Roman" w:cs="Times New Roman" w:hint="eastAsia"/>
              </w:rPr>
              <w:t>Facebook</w:t>
            </w:r>
            <w:r w:rsidRPr="00BD3AE1">
              <w:rPr>
                <w:rFonts w:ascii="Times New Roman" w:eastAsia="標楷體" w:hAnsi="Times New Roman" w:cs="Times New Roman" w:hint="eastAsia"/>
              </w:rPr>
              <w:t>粉絲成長率</w:t>
            </w:r>
            <w:r w:rsidRPr="00BD3AE1">
              <w:rPr>
                <w:rStyle w:val="a5"/>
                <w:rFonts w:ascii="Times New Roman" w:eastAsia="標楷體" w:hAnsi="Times New Roman" w:cs="Times New Roman"/>
              </w:rPr>
              <w:footnoteReference w:id="7"/>
            </w:r>
            <w:r w:rsidR="00063D02" w:rsidRPr="00BD3AE1">
              <w:rPr>
                <w:rFonts w:ascii="Times New Roman" w:eastAsia="標楷體" w:hAnsi="Times New Roman" w:cs="Times New Roman" w:hint="eastAsia"/>
              </w:rPr>
              <w:t>、貼文觸及人數、貼文已互動的用戶</w:t>
            </w:r>
            <w:r w:rsidR="00063D02" w:rsidRPr="00BD3AE1">
              <w:rPr>
                <w:rStyle w:val="a5"/>
                <w:rFonts w:ascii="Times New Roman" w:eastAsia="標楷體" w:hAnsi="Times New Roman" w:cs="Times New Roman"/>
              </w:rPr>
              <w:footnoteReference w:id="8"/>
            </w:r>
            <w:r w:rsidR="00063D02" w:rsidRPr="00BD3AE1">
              <w:rPr>
                <w:rFonts w:ascii="Times New Roman" w:eastAsia="標楷體" w:hAnsi="Times New Roman" w:cs="Times New Roman" w:hint="eastAsia"/>
              </w:rPr>
              <w:t>、貼文分享次數</w:t>
            </w:r>
          </w:p>
        </w:tc>
        <w:tc>
          <w:tcPr>
            <w:tcW w:w="710" w:type="dxa"/>
            <w:tcBorders>
              <w:left w:val="single" w:sz="4" w:space="0" w:color="auto"/>
              <w:right w:val="single" w:sz="4" w:space="0" w:color="auto"/>
            </w:tcBorders>
            <w:vAlign w:val="center"/>
          </w:tcPr>
          <w:p w:rsidR="004F609F" w:rsidRDefault="004F609F" w:rsidP="00D534C0">
            <w:pPr>
              <w:jc w:val="center"/>
              <w:rPr>
                <w:rFonts w:ascii="標楷體" w:eastAsia="標楷體" w:hAnsi="標楷體" w:cs="Times New Roman"/>
              </w:rPr>
            </w:pPr>
          </w:p>
          <w:p w:rsidR="00AC3B6A" w:rsidRDefault="00AC3B6A" w:rsidP="00D534C0">
            <w:pPr>
              <w:jc w:val="center"/>
              <w:rPr>
                <w:rFonts w:ascii="標楷體" w:eastAsia="標楷體" w:hAnsi="標楷體" w:cs="Times New Roman"/>
              </w:rPr>
            </w:pPr>
          </w:p>
          <w:p w:rsidR="00AC3B6A" w:rsidRPr="00BD3AE1" w:rsidRDefault="00AC3B6A" w:rsidP="00D534C0">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4F609F" w:rsidRDefault="004F609F" w:rsidP="00D534C0">
            <w:pPr>
              <w:jc w:val="center"/>
              <w:rPr>
                <w:rFonts w:ascii="標楷體" w:eastAsia="標楷體" w:hAnsi="標楷體" w:cs="Times New Roman"/>
              </w:rPr>
            </w:pPr>
          </w:p>
          <w:p w:rsidR="00AC3B6A" w:rsidRDefault="00AC3B6A" w:rsidP="00D534C0">
            <w:pPr>
              <w:jc w:val="center"/>
              <w:rPr>
                <w:rFonts w:ascii="標楷體" w:eastAsia="標楷體" w:hAnsi="標楷體" w:cs="Times New Roman"/>
              </w:rPr>
            </w:pPr>
          </w:p>
          <w:p w:rsidR="00AC3B6A" w:rsidRPr="00BD3AE1" w:rsidRDefault="00AC3B6A" w:rsidP="00D534C0">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Default="004F609F" w:rsidP="00D534C0">
            <w:pPr>
              <w:jc w:val="center"/>
              <w:rPr>
                <w:rFonts w:ascii="標楷體" w:eastAsia="標楷體" w:hAnsi="標楷體" w:cs="Times New Roman"/>
              </w:rPr>
            </w:pPr>
            <w:r w:rsidRPr="00BD3AE1">
              <w:rPr>
                <w:rFonts w:ascii="標楷體" w:eastAsia="標楷體" w:hAnsi="標楷體" w:cs="Times New Roman" w:hint="eastAsia"/>
              </w:rPr>
              <w:t>●</w:t>
            </w:r>
          </w:p>
          <w:p w:rsidR="00AC3B6A" w:rsidRDefault="00AC3B6A" w:rsidP="00D534C0">
            <w:pPr>
              <w:jc w:val="center"/>
              <w:rPr>
                <w:rFonts w:ascii="標楷體" w:eastAsia="標楷體" w:hAnsi="標楷體" w:cs="Times New Roman"/>
              </w:rPr>
            </w:pPr>
          </w:p>
          <w:p w:rsidR="00AC3B6A" w:rsidRPr="00BD3AE1" w:rsidRDefault="00AC3B6A" w:rsidP="00D534C0">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4F609F" w:rsidRDefault="004F609F" w:rsidP="00D534C0">
            <w:pPr>
              <w:jc w:val="center"/>
              <w:rPr>
                <w:rFonts w:ascii="標楷體" w:eastAsia="標楷體" w:hAnsi="標楷體" w:cs="Times New Roman"/>
              </w:rPr>
            </w:pPr>
            <w:r w:rsidRPr="00BD3AE1">
              <w:rPr>
                <w:rFonts w:ascii="標楷體" w:eastAsia="標楷體" w:hAnsi="標楷體" w:cs="Times New Roman" w:hint="eastAsia"/>
              </w:rPr>
              <w:t>●</w:t>
            </w:r>
          </w:p>
          <w:p w:rsidR="00AC3B6A" w:rsidRDefault="00AC3B6A" w:rsidP="00D534C0">
            <w:pPr>
              <w:jc w:val="center"/>
              <w:rPr>
                <w:rFonts w:ascii="標楷體" w:eastAsia="標楷體" w:hAnsi="標楷體" w:cs="Times New Roman"/>
              </w:rPr>
            </w:pPr>
          </w:p>
          <w:p w:rsidR="00AC3B6A" w:rsidRPr="00BD3AE1" w:rsidRDefault="00AC3B6A" w:rsidP="00D534C0">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4F609F" w:rsidRPr="00BD3AE1" w:rsidRDefault="004F609F" w:rsidP="00D534C0">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4F609F" w:rsidRPr="00BD3AE1" w:rsidRDefault="004F609F" w:rsidP="00D534C0">
            <w:pPr>
              <w:jc w:val="center"/>
              <w:rPr>
                <w:rFonts w:ascii="標楷體" w:eastAsia="標楷體" w:hAnsi="標楷體" w:cs="Times New Roman"/>
              </w:rPr>
            </w:pPr>
          </w:p>
        </w:tc>
      </w:tr>
      <w:tr w:rsidR="00AC3B6A" w:rsidRPr="00BD3AE1" w:rsidTr="00EF77D2">
        <w:trPr>
          <w:trHeight w:val="1088"/>
        </w:trPr>
        <w:tc>
          <w:tcPr>
            <w:tcW w:w="709" w:type="dxa"/>
            <w:vMerge/>
            <w:tcBorders>
              <w:left w:val="single" w:sz="12" w:space="0" w:color="auto"/>
            </w:tcBorders>
            <w:shd w:val="clear" w:color="auto" w:fill="auto"/>
            <w:vAlign w:val="center"/>
          </w:tcPr>
          <w:p w:rsidR="00AC3B6A" w:rsidRPr="00BD3AE1" w:rsidRDefault="00AC3B6A" w:rsidP="00D534C0">
            <w:pPr>
              <w:rPr>
                <w:rFonts w:ascii="Times New Roman" w:eastAsia="標楷體" w:hAnsi="Times New Roman" w:cs="Times New Roman"/>
              </w:rPr>
            </w:pPr>
          </w:p>
        </w:tc>
        <w:tc>
          <w:tcPr>
            <w:tcW w:w="757" w:type="dxa"/>
            <w:vMerge/>
            <w:tcBorders>
              <w:right w:val="single" w:sz="4" w:space="0" w:color="auto"/>
            </w:tcBorders>
            <w:shd w:val="clear" w:color="auto" w:fill="auto"/>
          </w:tcPr>
          <w:p w:rsidR="00AC3B6A" w:rsidRPr="00BD3AE1" w:rsidRDefault="00AC3B6A" w:rsidP="00D534C0">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AC3B6A" w:rsidRPr="00BD3AE1" w:rsidRDefault="00AC3B6A" w:rsidP="00AC3B6A">
            <w:pPr>
              <w:rPr>
                <w:rFonts w:ascii="Times New Roman" w:eastAsia="標楷體" w:hAnsi="Times New Roman" w:cs="Times New Roman"/>
              </w:rPr>
            </w:pPr>
            <w:r w:rsidRPr="00BD3AE1">
              <w:rPr>
                <w:rFonts w:ascii="Times New Roman" w:eastAsia="標楷體" w:hAnsi="Times New Roman" w:cs="Times New Roman" w:hint="eastAsia"/>
              </w:rPr>
              <w:t>Y</w:t>
            </w:r>
            <w:r w:rsidRPr="00BD3AE1">
              <w:rPr>
                <w:rFonts w:ascii="Times New Roman" w:eastAsia="標楷體" w:hAnsi="Times New Roman" w:cs="Times New Roman"/>
              </w:rPr>
              <w:t>ouTube</w:t>
            </w:r>
            <w:r w:rsidRPr="00BD3AE1">
              <w:rPr>
                <w:rFonts w:ascii="Times New Roman" w:eastAsia="標楷體" w:hAnsi="Times New Roman" w:cs="Times New Roman" w:hint="eastAsia"/>
              </w:rPr>
              <w:t>影音分享次數</w:t>
            </w:r>
          </w:p>
        </w:tc>
        <w:tc>
          <w:tcPr>
            <w:tcW w:w="710" w:type="dxa"/>
            <w:tcBorders>
              <w:left w:val="single" w:sz="4" w:space="0" w:color="auto"/>
              <w:right w:val="single" w:sz="4" w:space="0" w:color="auto"/>
            </w:tcBorders>
            <w:vAlign w:val="center"/>
          </w:tcPr>
          <w:p w:rsidR="00AC3B6A" w:rsidRDefault="00AC3B6A" w:rsidP="00D534C0">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AC3B6A" w:rsidRDefault="00AC3B6A" w:rsidP="00D534C0">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AC3B6A" w:rsidRPr="00BD3AE1" w:rsidRDefault="00AC3B6A" w:rsidP="00AC3B6A">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AC3B6A" w:rsidRPr="00BD3AE1" w:rsidRDefault="00AC3B6A" w:rsidP="00AC3B6A">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AC3B6A" w:rsidRPr="00BD3AE1" w:rsidRDefault="00AC3B6A" w:rsidP="00D534C0">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AC3B6A" w:rsidRPr="00BD3AE1" w:rsidRDefault="00AC3B6A" w:rsidP="00D534C0">
            <w:pPr>
              <w:jc w:val="center"/>
              <w:rPr>
                <w:rFonts w:ascii="標楷體" w:eastAsia="標楷體" w:hAnsi="標楷體" w:cs="Times New Roman"/>
              </w:rPr>
            </w:pPr>
          </w:p>
        </w:tc>
      </w:tr>
      <w:tr w:rsidR="00BD3AE1" w:rsidRPr="00BD3AE1" w:rsidTr="00EF77D2">
        <w:trPr>
          <w:trHeight w:val="588"/>
        </w:trPr>
        <w:tc>
          <w:tcPr>
            <w:tcW w:w="709" w:type="dxa"/>
            <w:vMerge/>
            <w:tcBorders>
              <w:left w:val="single" w:sz="12" w:space="0" w:color="auto"/>
            </w:tcBorders>
            <w:shd w:val="clear" w:color="auto" w:fill="auto"/>
            <w:vAlign w:val="center"/>
          </w:tcPr>
          <w:p w:rsidR="004F609F" w:rsidRPr="00BD3AE1" w:rsidRDefault="004F609F" w:rsidP="004F609F">
            <w:pPr>
              <w:rPr>
                <w:rFonts w:ascii="Times New Roman" w:eastAsia="標楷體" w:hAnsi="Times New Roman" w:cs="Times New Roman"/>
              </w:rPr>
            </w:pPr>
          </w:p>
        </w:tc>
        <w:tc>
          <w:tcPr>
            <w:tcW w:w="757" w:type="dxa"/>
            <w:vMerge/>
            <w:tcBorders>
              <w:right w:val="single" w:sz="4" w:space="0" w:color="auto"/>
            </w:tcBorders>
            <w:shd w:val="clear" w:color="auto" w:fill="auto"/>
          </w:tcPr>
          <w:p w:rsidR="004F609F" w:rsidRPr="00BD3AE1" w:rsidRDefault="004F609F" w:rsidP="004F609F">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4F609F" w:rsidRPr="00BD3AE1" w:rsidRDefault="00AC3B6A" w:rsidP="004F609F">
            <w:pPr>
              <w:rPr>
                <w:rFonts w:ascii="Times New Roman" w:eastAsia="標楷體" w:hAnsi="Times New Roman" w:cs="Times New Roman"/>
              </w:rPr>
            </w:pPr>
            <w:r w:rsidRPr="00AC3B6A">
              <w:rPr>
                <w:rFonts w:ascii="Times New Roman" w:eastAsia="標楷體" w:hAnsi="Times New Roman" w:cs="Times New Roman" w:hint="eastAsia"/>
              </w:rPr>
              <w:t>質性指標的建構</w:t>
            </w:r>
          </w:p>
        </w:tc>
        <w:tc>
          <w:tcPr>
            <w:tcW w:w="710" w:type="dxa"/>
            <w:tcBorders>
              <w:left w:val="single" w:sz="4" w:space="0" w:color="auto"/>
              <w:right w:val="single" w:sz="4" w:space="0" w:color="auto"/>
            </w:tcBorders>
            <w:vAlign w:val="center"/>
          </w:tcPr>
          <w:p w:rsidR="004F609F" w:rsidRPr="00BD3AE1" w:rsidRDefault="00AC3B6A" w:rsidP="004F609F">
            <w:pPr>
              <w:jc w:val="center"/>
              <w:rPr>
                <w:rFonts w:ascii="標楷體" w:eastAsia="標楷體" w:hAnsi="標楷體" w:cs="Times New Roman"/>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4F609F" w:rsidRPr="00BD3AE1" w:rsidRDefault="004F609F" w:rsidP="004F609F">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4F609F" w:rsidRPr="00BD3AE1" w:rsidRDefault="004F609F" w:rsidP="004F609F">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4F609F" w:rsidRPr="00BD3AE1" w:rsidRDefault="004F609F" w:rsidP="004F609F">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4F609F" w:rsidRPr="00BD3AE1" w:rsidRDefault="004F609F" w:rsidP="004F609F">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4F609F" w:rsidRPr="00BD3AE1" w:rsidRDefault="004F609F" w:rsidP="004F609F">
            <w:pPr>
              <w:jc w:val="center"/>
              <w:rPr>
                <w:rFonts w:ascii="標楷體" w:eastAsia="標楷體" w:hAnsi="標楷體" w:cs="Times New Roman"/>
              </w:rPr>
            </w:pPr>
          </w:p>
        </w:tc>
      </w:tr>
      <w:tr w:rsidR="00BD3AE1" w:rsidRPr="00BD3AE1" w:rsidTr="00EF77D2">
        <w:trPr>
          <w:trHeight w:val="2366"/>
        </w:trPr>
        <w:tc>
          <w:tcPr>
            <w:tcW w:w="709" w:type="dxa"/>
            <w:vMerge w:val="restart"/>
            <w:tcBorders>
              <w:left w:val="single" w:sz="12" w:space="0" w:color="auto"/>
            </w:tcBorders>
            <w:shd w:val="clear" w:color="auto" w:fill="auto"/>
            <w:vAlign w:val="center"/>
          </w:tcPr>
          <w:p w:rsidR="008643EA" w:rsidRPr="00BD3AE1" w:rsidRDefault="008643EA" w:rsidP="003172F5">
            <w:pPr>
              <w:rPr>
                <w:rFonts w:ascii="Times New Roman" w:eastAsia="標楷體" w:hAnsi="Times New Roman" w:cs="Times New Roman"/>
              </w:rPr>
            </w:pPr>
            <w:r w:rsidRPr="00BD3AE1">
              <w:rPr>
                <w:rFonts w:ascii="Times New Roman" w:eastAsia="標楷體" w:hAnsi="Times New Roman" w:cs="Times New Roman"/>
              </w:rPr>
              <w:t>節目品質滿意度</w:t>
            </w:r>
          </w:p>
        </w:tc>
        <w:tc>
          <w:tcPr>
            <w:tcW w:w="757" w:type="dxa"/>
            <w:vMerge w:val="restart"/>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r w:rsidRPr="00BD3AE1">
              <w:rPr>
                <w:rFonts w:ascii="Times New Roman" w:eastAsia="標楷體" w:hAnsi="Times New Roman" w:cs="Times New Roman"/>
              </w:rPr>
              <w:t>節目入圍得獎數</w:t>
            </w:r>
          </w:p>
        </w:tc>
        <w:tc>
          <w:tcPr>
            <w:tcW w:w="3496" w:type="dxa"/>
            <w:tcBorders>
              <w:left w:val="single" w:sz="4" w:space="0" w:color="auto"/>
              <w:right w:val="single" w:sz="4" w:space="0" w:color="auto"/>
            </w:tcBorders>
            <w:shd w:val="clear" w:color="auto" w:fill="auto"/>
            <w:vAlign w:val="center"/>
          </w:tcPr>
          <w:p w:rsidR="008643EA" w:rsidRPr="00BD3AE1" w:rsidRDefault="008643EA" w:rsidP="00587687">
            <w:pPr>
              <w:numPr>
                <w:ilvl w:val="0"/>
                <w:numId w:val="1"/>
              </w:numPr>
              <w:rPr>
                <w:rFonts w:ascii="Times New Roman" w:eastAsia="標楷體" w:hAnsi="Times New Roman" w:cs="Times New Roman"/>
              </w:rPr>
            </w:pPr>
            <w:r w:rsidRPr="00BD3AE1">
              <w:rPr>
                <w:rFonts w:ascii="Times New Roman" w:eastAsia="標楷體" w:hAnsi="Times New Roman" w:cs="Times New Roman"/>
              </w:rPr>
              <w:t>入圍數</w:t>
            </w:r>
            <w:r w:rsidRPr="00BD3AE1">
              <w:rPr>
                <w:rFonts w:ascii="Times New Roman" w:eastAsia="標楷體" w:hAnsi="Times New Roman" w:cs="Times New Roman"/>
              </w:rPr>
              <w:t>(</w:t>
            </w:r>
            <w:r w:rsidRPr="00BD3AE1">
              <w:rPr>
                <w:rFonts w:ascii="Times New Roman" w:eastAsia="標楷體" w:hAnsi="Times New Roman" w:cs="Times New Roman"/>
              </w:rPr>
              <w:t>國內／國外</w:t>
            </w:r>
            <w:r w:rsidRPr="00BD3AE1">
              <w:rPr>
                <w:rFonts w:ascii="Times New Roman" w:eastAsia="標楷體" w:hAnsi="Times New Roman" w:cs="Times New Roman"/>
              </w:rPr>
              <w:t>) by</w:t>
            </w:r>
            <w:r w:rsidRPr="00BD3AE1">
              <w:rPr>
                <w:rFonts w:ascii="Times New Roman" w:eastAsia="標楷體" w:hAnsi="Times New Roman" w:cs="Times New Roman"/>
              </w:rPr>
              <w:t>節目</w:t>
            </w:r>
            <w:r w:rsidRPr="00BD3AE1">
              <w:rPr>
                <w:rFonts w:ascii="Times New Roman" w:eastAsia="標楷體" w:hAnsi="Times New Roman" w:cs="Times New Roman"/>
              </w:rPr>
              <w:t>/</w:t>
            </w:r>
            <w:r w:rsidRPr="00BD3AE1">
              <w:rPr>
                <w:rFonts w:ascii="Times New Roman" w:eastAsia="標楷體" w:hAnsi="Times New Roman" w:cs="Times New Roman"/>
              </w:rPr>
              <w:t>新聞（類型）歷年比較</w:t>
            </w:r>
          </w:p>
          <w:p w:rsidR="00F049F9" w:rsidRPr="00BD3AE1" w:rsidRDefault="008643EA" w:rsidP="00F049F9">
            <w:pPr>
              <w:numPr>
                <w:ilvl w:val="0"/>
                <w:numId w:val="1"/>
              </w:numPr>
              <w:rPr>
                <w:rFonts w:ascii="Times New Roman" w:eastAsia="標楷體" w:hAnsi="Times New Roman" w:cs="Times New Roman"/>
              </w:rPr>
            </w:pPr>
            <w:r w:rsidRPr="00BD3AE1">
              <w:rPr>
                <w:rFonts w:ascii="Times New Roman" w:eastAsia="標楷體" w:hAnsi="Times New Roman" w:cs="Times New Roman"/>
              </w:rPr>
              <w:t>得獎數</w:t>
            </w:r>
            <w:r w:rsidRPr="00BD3AE1">
              <w:rPr>
                <w:rFonts w:ascii="Times New Roman" w:eastAsia="標楷體" w:hAnsi="Times New Roman" w:cs="Times New Roman"/>
              </w:rPr>
              <w:t>(</w:t>
            </w:r>
            <w:r w:rsidRPr="00BD3AE1">
              <w:rPr>
                <w:rFonts w:ascii="Times New Roman" w:eastAsia="標楷體" w:hAnsi="Times New Roman" w:cs="Times New Roman"/>
              </w:rPr>
              <w:t>國內／國外</w:t>
            </w:r>
            <w:r w:rsidRPr="00BD3AE1">
              <w:rPr>
                <w:rFonts w:ascii="Times New Roman" w:eastAsia="標楷體" w:hAnsi="Times New Roman" w:cs="Times New Roman"/>
              </w:rPr>
              <w:t>) by</w:t>
            </w:r>
            <w:r w:rsidRPr="00BD3AE1">
              <w:rPr>
                <w:rFonts w:ascii="Times New Roman" w:eastAsia="標楷體" w:hAnsi="Times New Roman" w:cs="Times New Roman"/>
              </w:rPr>
              <w:t>節目</w:t>
            </w:r>
            <w:r w:rsidRPr="00BD3AE1">
              <w:rPr>
                <w:rFonts w:ascii="Times New Roman" w:eastAsia="標楷體" w:hAnsi="Times New Roman" w:cs="Times New Roman"/>
              </w:rPr>
              <w:t>/</w:t>
            </w:r>
            <w:r w:rsidRPr="00BD3AE1">
              <w:rPr>
                <w:rFonts w:ascii="Times New Roman" w:eastAsia="標楷體" w:hAnsi="Times New Roman" w:cs="Times New Roman"/>
              </w:rPr>
              <w:t>新聞（類型）歷年比較</w:t>
            </w:r>
          </w:p>
          <w:p w:rsidR="008643EA" w:rsidRPr="00BD3AE1" w:rsidRDefault="008643EA" w:rsidP="00F049F9">
            <w:pPr>
              <w:numPr>
                <w:ilvl w:val="0"/>
                <w:numId w:val="1"/>
              </w:numPr>
              <w:rPr>
                <w:rFonts w:ascii="Times New Roman" w:eastAsia="標楷體" w:hAnsi="Times New Roman" w:cs="Times New Roman"/>
              </w:rPr>
            </w:pPr>
            <w:r w:rsidRPr="00BD3AE1">
              <w:rPr>
                <w:rFonts w:ascii="Times New Roman" w:eastAsia="標楷體" w:hAnsi="Times New Roman" w:cs="Times New Roman"/>
              </w:rPr>
              <w:t>優良節目推薦</w:t>
            </w:r>
          </w:p>
        </w:tc>
        <w:tc>
          <w:tcPr>
            <w:tcW w:w="710"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3D19B2">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900"/>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3D19B2">
            <w:pPr>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（入圍、得獎數）達成情形</w:t>
            </w:r>
          </w:p>
        </w:tc>
        <w:tc>
          <w:tcPr>
            <w:tcW w:w="710"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643EA" w:rsidRPr="00BD3AE1" w:rsidRDefault="008643EA" w:rsidP="003D19B2">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643EA" w:rsidRPr="00BD3AE1" w:rsidRDefault="008643EA" w:rsidP="003D19B2">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640"/>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r w:rsidRPr="00BD3AE1">
              <w:rPr>
                <w:rFonts w:ascii="Times New Roman" w:eastAsia="標楷體" w:hAnsi="Times New Roman" w:cs="Times New Roman"/>
              </w:rPr>
              <w:t>喜愛度</w:t>
            </w:r>
          </w:p>
          <w:p w:rsidR="00B06E1D" w:rsidRPr="00BD3AE1" w:rsidRDefault="00B06E1D"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932535">
            <w:pPr>
              <w:jc w:val="both"/>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693"/>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932535">
            <w:pPr>
              <w:jc w:val="both"/>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p>
        </w:tc>
      </w:tr>
      <w:tr w:rsidR="00BD3AE1" w:rsidRPr="00BD3AE1" w:rsidTr="00EF77D2">
        <w:trPr>
          <w:trHeight w:val="687"/>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2875D6">
            <w:pPr>
              <w:jc w:val="both"/>
              <w:rPr>
                <w:rFonts w:ascii="Times New Roman" w:eastAsia="標楷體" w:hAnsi="Times New Roman" w:cs="Times New Roman"/>
              </w:rPr>
            </w:pPr>
            <w:r w:rsidRPr="00BD3AE1">
              <w:rPr>
                <w:rFonts w:ascii="Times New Roman" w:eastAsia="標楷體" w:hAnsi="Times New Roman" w:cs="Times New Roman"/>
              </w:rPr>
              <w:t>收視質研究</w:t>
            </w:r>
            <w:r w:rsidR="002875D6" w:rsidRPr="00BD3AE1">
              <w:rPr>
                <w:rFonts w:ascii="Times New Roman" w:eastAsia="標楷體" w:hAnsi="Times New Roman" w:cs="Times New Roman"/>
              </w:rPr>
              <w:t>(</w:t>
            </w:r>
            <w:r w:rsidR="002875D6" w:rsidRPr="00BD3AE1">
              <w:rPr>
                <w:rFonts w:ascii="Times New Roman" w:eastAsia="標楷體" w:hAnsi="Times New Roman" w:cs="Times New Roman"/>
              </w:rPr>
              <w:t>喜愛度調查</w:t>
            </w:r>
            <w:r w:rsidR="002875D6"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1"/>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r w:rsidRPr="00BD3AE1">
              <w:rPr>
                <w:rFonts w:ascii="Times New Roman" w:eastAsia="標楷體" w:hAnsi="Times New Roman" w:cs="Times New Roman"/>
              </w:rPr>
              <w:t>節目</w:t>
            </w:r>
            <w:r w:rsidRPr="00BD3AE1">
              <w:rPr>
                <w:rFonts w:ascii="Times New Roman" w:eastAsia="標楷體" w:hAnsi="Times New Roman" w:cs="Times New Roman"/>
              </w:rPr>
              <w:lastRenderedPageBreak/>
              <w:t>的多元</w:t>
            </w:r>
          </w:p>
        </w:tc>
        <w:tc>
          <w:tcPr>
            <w:tcW w:w="3496" w:type="dxa"/>
            <w:tcBorders>
              <w:left w:val="single" w:sz="4" w:space="0" w:color="auto"/>
              <w:right w:val="single" w:sz="4" w:space="0" w:color="auto"/>
            </w:tcBorders>
            <w:shd w:val="clear" w:color="auto" w:fill="auto"/>
            <w:vAlign w:val="center"/>
          </w:tcPr>
          <w:p w:rsidR="008643EA"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lastRenderedPageBreak/>
              <w:t>質化研究</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6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4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9F4655">
            <w:pPr>
              <w:rPr>
                <w:rFonts w:ascii="Times New Roman" w:eastAsia="標楷體" w:hAnsi="Times New Roman" w:cs="Times New Roman"/>
              </w:rPr>
            </w:pPr>
            <w:r w:rsidRPr="00BD3AE1">
              <w:rPr>
                <w:rFonts w:ascii="Times New Roman" w:eastAsia="標楷體" w:hAnsi="Times New Roman" w:cs="Times New Roman"/>
              </w:rPr>
              <w:t>全年節目類型分佈及時數</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67"/>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p>
        </w:tc>
      </w:tr>
      <w:tr w:rsidR="00BD3AE1" w:rsidRPr="00BD3AE1" w:rsidTr="00EF77D2">
        <w:trPr>
          <w:trHeight w:val="697"/>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6A1222">
            <w:pPr>
              <w:rPr>
                <w:rFonts w:ascii="Times New Roman" w:eastAsia="標楷體" w:hAnsi="Times New Roman" w:cs="Times New Roman"/>
              </w:rPr>
            </w:pPr>
            <w:r w:rsidRPr="00BD3AE1">
              <w:rPr>
                <w:rFonts w:ascii="Times New Roman" w:eastAsia="標楷體" w:hAnsi="Times New Roman" w:cs="Times New Roman"/>
              </w:rPr>
              <w:t>收視質研究</w:t>
            </w:r>
            <w:r w:rsidR="002875D6" w:rsidRPr="00BD3AE1">
              <w:rPr>
                <w:rFonts w:ascii="Times New Roman" w:eastAsia="標楷體" w:hAnsi="Times New Roman" w:cs="Times New Roman"/>
              </w:rPr>
              <w:t>(</w:t>
            </w:r>
            <w:r w:rsidR="006A1222" w:rsidRPr="00BD3AE1">
              <w:rPr>
                <w:rFonts w:ascii="Times New Roman" w:eastAsia="標楷體" w:hAnsi="Times New Roman" w:cs="Times New Roman"/>
              </w:rPr>
              <w:t>滿意度</w:t>
            </w:r>
            <w:r w:rsidR="002875D6" w:rsidRPr="00BD3AE1">
              <w:rPr>
                <w:rFonts w:ascii="Times New Roman" w:eastAsia="標楷體" w:hAnsi="Times New Roman" w:cs="Times New Roman"/>
              </w:rPr>
              <w:t>調查</w:t>
            </w:r>
            <w:r w:rsidR="002875D6"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r w:rsidRPr="00BD3AE1">
              <w:rPr>
                <w:rFonts w:ascii="Times New Roman" w:eastAsia="標楷體" w:hAnsi="Times New Roman" w:cs="Times New Roman"/>
              </w:rPr>
              <w:t>節目的創新</w:t>
            </w:r>
          </w:p>
        </w:tc>
        <w:tc>
          <w:tcPr>
            <w:tcW w:w="3496" w:type="dxa"/>
            <w:tcBorders>
              <w:left w:val="single" w:sz="4" w:space="0" w:color="auto"/>
              <w:right w:val="single" w:sz="4" w:space="0" w:color="auto"/>
            </w:tcBorders>
            <w:shd w:val="clear" w:color="auto" w:fill="auto"/>
            <w:vAlign w:val="center"/>
          </w:tcPr>
          <w:p w:rsidR="008643EA"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bCs/>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9F4655">
            <w:pPr>
              <w:jc w:val="center"/>
              <w:rPr>
                <w:rFonts w:ascii="標楷體" w:eastAsia="標楷體" w:hAnsi="標楷體" w:cs="Times New Roman"/>
                <w:bCs/>
              </w:rPr>
            </w:pP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3D19B2">
            <w:pPr>
              <w:pStyle w:val="aa"/>
              <w:numPr>
                <w:ilvl w:val="0"/>
                <w:numId w:val="23"/>
              </w:numPr>
              <w:ind w:leftChars="0"/>
              <w:rPr>
                <w:rFonts w:ascii="Times New Roman" w:eastAsia="標楷體" w:hAnsi="Times New Roman" w:cs="Times New Roman"/>
              </w:rPr>
            </w:pPr>
            <w:r w:rsidRPr="00BD3AE1">
              <w:rPr>
                <w:rFonts w:ascii="Times New Roman" w:eastAsia="標楷體" w:hAnsi="Times New Roman" w:cs="Times New Roman"/>
              </w:rPr>
              <w:t>全年新製節目時數／佔全年節目時數比例</w:t>
            </w:r>
          </w:p>
          <w:p w:rsidR="008643EA" w:rsidRPr="00BD3AE1" w:rsidRDefault="008643EA" w:rsidP="00F049F9">
            <w:pPr>
              <w:pStyle w:val="aa"/>
              <w:numPr>
                <w:ilvl w:val="0"/>
                <w:numId w:val="23"/>
              </w:numPr>
              <w:ind w:leftChars="0"/>
              <w:rPr>
                <w:rFonts w:ascii="Times New Roman" w:eastAsia="標楷體" w:hAnsi="Times New Roman" w:cs="Times New Roman"/>
              </w:rPr>
            </w:pPr>
            <w:r w:rsidRPr="00BD3AE1">
              <w:rPr>
                <w:rFonts w:ascii="Times New Roman" w:eastAsia="標楷體" w:hAnsi="Times New Roman" w:cs="Times New Roman"/>
              </w:rPr>
              <w:t>全年新型態節目實例分項說明，以節目形式、內容與美學等三方面分項敘述之</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2875D6">
            <w:pPr>
              <w:rPr>
                <w:rFonts w:ascii="Times New Roman" w:eastAsia="標楷體" w:hAnsi="Times New Roman" w:cs="Times New Roman"/>
              </w:rPr>
            </w:pPr>
            <w:r w:rsidRPr="00BD3AE1">
              <w:rPr>
                <w:rFonts w:ascii="Times New Roman" w:eastAsia="標楷體" w:hAnsi="Times New Roman" w:cs="Times New Roman"/>
              </w:rPr>
              <w:t>收視質研究</w:t>
            </w:r>
            <w:r w:rsidR="002875D6" w:rsidRPr="00BD3AE1">
              <w:rPr>
                <w:rFonts w:ascii="Times New Roman" w:eastAsia="標楷體" w:hAnsi="Times New Roman" w:cs="Times New Roman"/>
              </w:rPr>
              <w:t>(</w:t>
            </w:r>
            <w:r w:rsidR="002875D6" w:rsidRPr="00BD3AE1">
              <w:rPr>
                <w:rFonts w:ascii="Times New Roman" w:eastAsia="標楷體" w:hAnsi="Times New Roman" w:cs="Times New Roman"/>
              </w:rPr>
              <w:t>滿意度調查</w:t>
            </w:r>
            <w:r w:rsidR="002875D6"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643EA" w:rsidRPr="00BD3AE1" w:rsidRDefault="008643EA"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643EA" w:rsidRPr="00BD3AE1" w:rsidRDefault="008643EA"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643EA" w:rsidRPr="00BD3AE1" w:rsidRDefault="008643EA" w:rsidP="00587687">
            <w:pPr>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（新製節目比例）達成情形</w:t>
            </w:r>
          </w:p>
        </w:tc>
        <w:tc>
          <w:tcPr>
            <w:tcW w:w="710"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643EA" w:rsidRPr="00BD3AE1" w:rsidRDefault="008643EA"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643EA" w:rsidRPr="00BD3AE1" w:rsidRDefault="008643EA" w:rsidP="00587687">
            <w:pPr>
              <w:jc w:val="center"/>
              <w:rPr>
                <w:rFonts w:ascii="標楷體" w:eastAsia="標楷體" w:hAnsi="標楷體" w:cs="Times New Roman"/>
              </w:rPr>
            </w:pPr>
          </w:p>
        </w:tc>
      </w:tr>
      <w:tr w:rsidR="00BD3AE1" w:rsidRPr="00BD3AE1" w:rsidTr="00EF77D2">
        <w:trPr>
          <w:trHeight w:val="5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bCs/>
              </w:rPr>
              <w:t>●</w:t>
            </w:r>
          </w:p>
        </w:tc>
      </w:tr>
      <w:tr w:rsidR="00BD3AE1" w:rsidRPr="00BD3AE1" w:rsidTr="00EF77D2">
        <w:trPr>
          <w:trHeight w:val="575"/>
        </w:trPr>
        <w:tc>
          <w:tcPr>
            <w:tcW w:w="709" w:type="dxa"/>
            <w:vMerge/>
            <w:tcBorders>
              <w:left w:val="single" w:sz="12" w:space="0" w:color="auto"/>
              <w:bottom w:val="nil"/>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bottom w:val="nil"/>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389"/>
        </w:trPr>
        <w:tc>
          <w:tcPr>
            <w:tcW w:w="709" w:type="dxa"/>
            <w:vMerge w:val="restart"/>
            <w:tcBorders>
              <w:top w:val="nil"/>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節目品質滿意度</w:t>
            </w:r>
          </w:p>
        </w:tc>
        <w:tc>
          <w:tcPr>
            <w:tcW w:w="757" w:type="dxa"/>
            <w:vMerge w:val="restart"/>
            <w:tcBorders>
              <w:top w:val="nil"/>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節目的深度</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收視質研究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44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節目的公正性</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bCs/>
              </w:rPr>
              <w:t>●</w:t>
            </w:r>
          </w:p>
        </w:tc>
      </w:tr>
      <w:tr w:rsidR="00BD3AE1" w:rsidRPr="00BD3AE1" w:rsidTr="00EF77D2">
        <w:trPr>
          <w:trHeight w:val="55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549"/>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276CFC">
            <w:pPr>
              <w:numPr>
                <w:ilvl w:val="0"/>
                <w:numId w:val="3"/>
              </w:numPr>
              <w:rPr>
                <w:rFonts w:ascii="Times New Roman" w:eastAsia="標楷體" w:hAnsi="Times New Roman" w:cs="Times New Roman"/>
              </w:rPr>
            </w:pPr>
            <w:r w:rsidRPr="00BD3AE1">
              <w:rPr>
                <w:rFonts w:ascii="Times New Roman" w:eastAsia="標楷體" w:hAnsi="Times New Roman" w:cs="Times New Roman"/>
              </w:rPr>
              <w:t>新聞／節目申訴委員會的案例討論及救濟措施作法（負面個案數量／主題表列說明）</w:t>
            </w:r>
          </w:p>
          <w:p w:rsidR="008001CF" w:rsidRPr="00BD3AE1" w:rsidRDefault="008001CF" w:rsidP="00276CFC">
            <w:pPr>
              <w:numPr>
                <w:ilvl w:val="0"/>
                <w:numId w:val="3"/>
              </w:numPr>
              <w:rPr>
                <w:rFonts w:ascii="Times New Roman" w:eastAsia="標楷體" w:hAnsi="Times New Roman" w:cs="Times New Roman"/>
              </w:rPr>
            </w:pPr>
            <w:r w:rsidRPr="00BD3AE1">
              <w:rPr>
                <w:rFonts w:ascii="Times New Roman" w:eastAsia="標楷體" w:hAnsi="Times New Roman" w:cs="Times New Roman"/>
              </w:rPr>
              <w:t>論壇、辯論之新聞性節目處</w:t>
            </w:r>
            <w:r w:rsidRPr="00BD3AE1">
              <w:rPr>
                <w:rFonts w:ascii="Times New Roman" w:eastAsia="標楷體" w:hAnsi="Times New Roman" w:cs="Times New Roman"/>
              </w:rPr>
              <w:lastRenderedPageBreak/>
              <w:t>理兩極、對立意見及觀點的作業原則與要點</w:t>
            </w:r>
          </w:p>
          <w:p w:rsidR="008001CF" w:rsidRPr="00BD3AE1" w:rsidRDefault="008001CF" w:rsidP="00276CFC">
            <w:pPr>
              <w:numPr>
                <w:ilvl w:val="0"/>
                <w:numId w:val="3"/>
              </w:numPr>
              <w:rPr>
                <w:rFonts w:ascii="Times New Roman" w:eastAsia="標楷體" w:hAnsi="Times New Roman" w:cs="Times New Roman"/>
              </w:rPr>
            </w:pPr>
            <w:r w:rsidRPr="00BD3AE1">
              <w:rPr>
                <w:rFonts w:ascii="Times New Roman" w:eastAsia="標楷體" w:hAnsi="Times New Roman" w:cs="Times New Roman"/>
              </w:rPr>
              <w:t>一般性新聞報導如何呈現正反意見及新聞陳述之作業原則及要點</w:t>
            </w:r>
          </w:p>
          <w:p w:rsidR="008001CF" w:rsidRPr="00BD3AE1" w:rsidRDefault="008001CF" w:rsidP="00276CFC">
            <w:pPr>
              <w:numPr>
                <w:ilvl w:val="0"/>
                <w:numId w:val="3"/>
              </w:numPr>
              <w:rPr>
                <w:rFonts w:ascii="Times New Roman" w:eastAsia="標楷體" w:hAnsi="Times New Roman" w:cs="Times New Roman"/>
              </w:rPr>
            </w:pPr>
            <w:r w:rsidRPr="00BD3AE1">
              <w:rPr>
                <w:rFonts w:ascii="Times New Roman" w:eastAsia="標楷體" w:hAnsi="Times New Roman" w:cs="Times New Roman"/>
              </w:rPr>
              <w:t>觀眾反映新聞及節目內容</w:t>
            </w:r>
            <w:r w:rsidRPr="00BD3AE1">
              <w:rPr>
                <w:rFonts w:ascii="Times New Roman" w:eastAsia="標楷體" w:hAnsi="Times New Roman" w:cs="Times New Roman"/>
              </w:rPr>
              <w:t>/</w:t>
            </w:r>
            <w:r w:rsidRPr="00BD3AE1">
              <w:rPr>
                <w:rFonts w:ascii="Times New Roman" w:eastAsia="標楷體" w:hAnsi="Times New Roman" w:cs="Times New Roman"/>
              </w:rPr>
              <w:t>表現的統計數量</w:t>
            </w:r>
          </w:p>
        </w:tc>
        <w:tc>
          <w:tcPr>
            <w:tcW w:w="710" w:type="dxa"/>
            <w:tcBorders>
              <w:left w:val="single" w:sz="4" w:space="0" w:color="auto"/>
              <w:right w:val="single" w:sz="4" w:space="0" w:color="auto"/>
            </w:tcBorders>
            <w:vAlign w:val="center"/>
          </w:tcPr>
          <w:p w:rsidR="008001CF" w:rsidRPr="00BD3AE1" w:rsidRDefault="008001CF" w:rsidP="00587687">
            <w:pP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1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滿意度調查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6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F049F9">
            <w:pPr>
              <w:rPr>
                <w:rFonts w:ascii="Times New Roman" w:eastAsia="標楷體" w:hAnsi="Times New Roman" w:cs="Times New Roman"/>
              </w:rPr>
            </w:pPr>
            <w:r w:rsidRPr="00BD3AE1">
              <w:rPr>
                <w:rFonts w:ascii="Times New Roman" w:eastAsia="標楷體" w:hAnsi="Times New Roman" w:cs="Times New Roman"/>
              </w:rPr>
              <w:t>新聞獨立性</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6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56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55"/>
        </w:trPr>
        <w:tc>
          <w:tcPr>
            <w:tcW w:w="709" w:type="dxa"/>
            <w:vMerge w:val="restart"/>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影響力</w:t>
            </w: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型塑公民社會</w:t>
            </w: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5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5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p>
        </w:tc>
      </w:tr>
      <w:tr w:rsidR="00BD3AE1" w:rsidRPr="00BD3AE1" w:rsidTr="00EF77D2">
        <w:trPr>
          <w:trHeight w:val="2973"/>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3D19B2">
            <w:pPr>
              <w:numPr>
                <w:ilvl w:val="0"/>
                <w:numId w:val="6"/>
              </w:numPr>
              <w:rPr>
                <w:rFonts w:ascii="Times New Roman" w:eastAsia="標楷體" w:hAnsi="Times New Roman" w:cs="Times New Roman"/>
              </w:rPr>
            </w:pPr>
            <w:r w:rsidRPr="00BD3AE1">
              <w:rPr>
                <w:rFonts w:ascii="Times New Roman" w:eastAsia="標楷體" w:hAnsi="Times New Roman" w:cs="Times New Roman"/>
              </w:rPr>
              <w:t>公民</w:t>
            </w:r>
            <w:r w:rsidRPr="00BD3AE1">
              <w:rPr>
                <w:rFonts w:ascii="Times New Roman" w:eastAsia="標楷體" w:hAnsi="Times New Roman" w:cs="Times New Roman"/>
              </w:rPr>
              <w:t>/</w:t>
            </w:r>
            <w:r w:rsidRPr="00BD3AE1">
              <w:rPr>
                <w:rFonts w:ascii="Times New Roman" w:eastAsia="標楷體" w:hAnsi="Times New Roman" w:cs="Times New Roman"/>
              </w:rPr>
              <w:t>族群團體參與特定節目的時數分配</w:t>
            </w:r>
          </w:p>
          <w:p w:rsidR="008001CF" w:rsidRPr="00BD3AE1" w:rsidRDefault="008001CF" w:rsidP="003D19B2">
            <w:pPr>
              <w:numPr>
                <w:ilvl w:val="0"/>
                <w:numId w:val="6"/>
              </w:numPr>
              <w:rPr>
                <w:rFonts w:ascii="Times New Roman" w:eastAsia="標楷體" w:hAnsi="Times New Roman" w:cs="Times New Roman"/>
              </w:rPr>
            </w:pPr>
            <w:r w:rsidRPr="00BD3AE1">
              <w:rPr>
                <w:rFonts w:ascii="Times New Roman" w:eastAsia="標楷體" w:hAnsi="Times New Roman" w:cs="Times New Roman"/>
              </w:rPr>
              <w:t>節目／新聞議題後續長期追蹤報導實例說明</w:t>
            </w:r>
          </w:p>
          <w:p w:rsidR="008001CF" w:rsidRPr="00BD3AE1" w:rsidRDefault="008001CF" w:rsidP="003D19B2">
            <w:pPr>
              <w:numPr>
                <w:ilvl w:val="0"/>
                <w:numId w:val="6"/>
              </w:numPr>
              <w:rPr>
                <w:rFonts w:ascii="Times New Roman" w:eastAsia="標楷體" w:hAnsi="Times New Roman" w:cs="Times New Roman"/>
              </w:rPr>
            </w:pPr>
            <w:r w:rsidRPr="00BD3AE1">
              <w:rPr>
                <w:rFonts w:ascii="Times New Roman" w:eastAsia="標楷體" w:hAnsi="Times New Roman" w:cs="Times New Roman"/>
              </w:rPr>
              <w:t>公民</w:t>
            </w:r>
            <w:r w:rsidRPr="00BD3AE1">
              <w:rPr>
                <w:rFonts w:ascii="Times New Roman" w:eastAsia="標楷體" w:hAnsi="Times New Roman" w:cs="Times New Roman"/>
              </w:rPr>
              <w:t>/</w:t>
            </w:r>
            <w:r w:rsidRPr="00BD3AE1">
              <w:rPr>
                <w:rFonts w:ascii="Times New Roman" w:eastAsia="標楷體" w:hAnsi="Times New Roman" w:cs="Times New Roman"/>
              </w:rPr>
              <w:t>族群參與性節目之團體種類及數量</w:t>
            </w:r>
            <w:r w:rsidRPr="00BD3AE1">
              <w:rPr>
                <w:rFonts w:ascii="Times New Roman" w:eastAsia="標楷體" w:hAnsi="Times New Roman" w:cs="Times New Roman"/>
              </w:rPr>
              <w:t>(</w:t>
            </w:r>
            <w:r w:rsidRPr="00BD3AE1">
              <w:rPr>
                <w:rFonts w:ascii="Times New Roman" w:eastAsia="標楷體" w:hAnsi="Times New Roman" w:cs="Times New Roman"/>
              </w:rPr>
              <w:t>節目類</w:t>
            </w:r>
            <w:r w:rsidRPr="00BD3AE1">
              <w:rPr>
                <w:rFonts w:ascii="Times New Roman" w:eastAsia="標楷體" w:hAnsi="Times New Roman" w:cs="Times New Roman"/>
              </w:rPr>
              <w:t>)</w:t>
            </w:r>
          </w:p>
          <w:p w:rsidR="008001CF" w:rsidRPr="00BD3AE1" w:rsidRDefault="008001CF" w:rsidP="00587687">
            <w:pPr>
              <w:numPr>
                <w:ilvl w:val="0"/>
                <w:numId w:val="6"/>
              </w:numPr>
              <w:rPr>
                <w:rFonts w:ascii="Times New Roman" w:eastAsia="標楷體" w:hAnsi="Times New Roman" w:cs="Times New Roman"/>
              </w:rPr>
            </w:pPr>
            <w:r w:rsidRPr="00BD3AE1">
              <w:rPr>
                <w:rFonts w:ascii="Times New Roman" w:eastAsia="標楷體" w:hAnsi="Times New Roman" w:cs="Times New Roman"/>
              </w:rPr>
              <w:t>協助</w:t>
            </w:r>
            <w:r w:rsidRPr="00BD3AE1">
              <w:rPr>
                <w:rFonts w:ascii="Times New Roman" w:eastAsia="標楷體" w:hAnsi="Times New Roman" w:cs="Times New Roman"/>
              </w:rPr>
              <w:t>NPO</w:t>
            </w:r>
            <w:r w:rsidR="007733FB">
              <w:rPr>
                <w:rStyle w:val="a5"/>
                <w:rFonts w:ascii="Times New Roman" w:eastAsia="標楷體" w:hAnsi="Times New Roman" w:cs="Times New Roman"/>
              </w:rPr>
              <w:footnoteReference w:id="9"/>
            </w:r>
            <w:r w:rsidRPr="00BD3AE1">
              <w:rPr>
                <w:rFonts w:ascii="Times New Roman" w:eastAsia="標楷體" w:hAnsi="Times New Roman" w:cs="Times New Roman"/>
              </w:rPr>
              <w:t>公共能見度之數量及主題</w:t>
            </w:r>
            <w:r w:rsidRPr="00BD3AE1">
              <w:rPr>
                <w:rFonts w:ascii="Times New Roman" w:eastAsia="標楷體" w:hAnsi="Times New Roman" w:cs="Times New Roman"/>
              </w:rPr>
              <w:t>(</w:t>
            </w:r>
            <w:r w:rsidRPr="00BD3AE1">
              <w:rPr>
                <w:rFonts w:ascii="Times New Roman" w:eastAsia="標楷體" w:hAnsi="Times New Roman" w:cs="Times New Roman"/>
              </w:rPr>
              <w:t>非節目類</w:t>
            </w:r>
            <w:r w:rsidRPr="00BD3AE1">
              <w:rPr>
                <w:rFonts w:ascii="Times New Roman" w:eastAsia="標楷體" w:hAnsi="Times New Roman" w:cs="Times New Roman"/>
              </w:rPr>
              <w:t xml:space="preserve">) </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71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276CFC">
            <w:pPr>
              <w:rPr>
                <w:rFonts w:ascii="Times New Roman" w:eastAsia="標楷體" w:hAnsi="Times New Roman" w:cs="Times New Roman"/>
              </w:rPr>
            </w:pPr>
            <w:r w:rsidRPr="00BD3AE1">
              <w:rPr>
                <w:rFonts w:ascii="Times New Roman" w:eastAsia="標楷體" w:hAnsi="Times New Roman" w:cs="Times New Roman"/>
              </w:rPr>
              <w:t>NPO</w:t>
            </w:r>
            <w:r w:rsidRPr="00BD3AE1">
              <w:rPr>
                <w:rFonts w:ascii="Times New Roman" w:eastAsia="標楷體" w:hAnsi="Times New Roman" w:cs="Times New Roman"/>
              </w:rPr>
              <w:t>團體以組織形式加入</w:t>
            </w:r>
            <w:r w:rsidRPr="00BD3AE1">
              <w:rPr>
                <w:rFonts w:ascii="Times New Roman" w:eastAsia="標楷體" w:hAnsi="Times New Roman" w:cs="Times New Roman"/>
              </w:rPr>
              <w:t>peopo</w:t>
            </w:r>
            <w:r w:rsidRPr="00BD3AE1">
              <w:rPr>
                <w:rFonts w:ascii="Times New Roman" w:eastAsia="標楷體" w:hAnsi="Times New Roman" w:cs="Times New Roman"/>
              </w:rPr>
              <w:t>平台之數量與發稿量</w:t>
            </w:r>
            <w:r w:rsidR="00E67B53" w:rsidRPr="00BD3AE1">
              <w:rPr>
                <w:rStyle w:val="a5"/>
                <w:rFonts w:ascii="Times New Roman" w:eastAsia="標楷體" w:hAnsi="Times New Roman" w:cs="Times New Roman"/>
              </w:rPr>
              <w:footnoteReference w:id="10"/>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p>
        </w:tc>
      </w:tr>
      <w:tr w:rsidR="00BD3AE1" w:rsidRPr="00BD3AE1" w:rsidTr="00EF77D2">
        <w:trPr>
          <w:trHeight w:val="551"/>
        </w:trPr>
        <w:tc>
          <w:tcPr>
            <w:tcW w:w="709" w:type="dxa"/>
            <w:vMerge/>
            <w:tcBorders>
              <w:left w:val="single" w:sz="12" w:space="0" w:color="auto"/>
              <w:bottom w:val="nil"/>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3D19B2">
            <w:pPr>
              <w:rPr>
                <w:rFonts w:ascii="Times New Roman" w:eastAsia="標楷體" w:hAnsi="Times New Roman" w:cs="Times New Roman"/>
              </w:rPr>
            </w:pPr>
            <w:r w:rsidRPr="00BD3AE1">
              <w:rPr>
                <w:rFonts w:ascii="Times New Roman" w:eastAsia="標楷體" w:hAnsi="Times New Roman" w:cs="Times New Roman"/>
              </w:rPr>
              <w:t>協助</w:t>
            </w:r>
            <w:r w:rsidRPr="00BD3AE1">
              <w:rPr>
                <w:rFonts w:ascii="Times New Roman" w:eastAsia="標楷體" w:hAnsi="Times New Roman" w:cs="Times New Roman"/>
              </w:rPr>
              <w:t>NPO</w:t>
            </w:r>
            <w:r w:rsidRPr="00BD3AE1">
              <w:rPr>
                <w:rFonts w:ascii="Times New Roman" w:eastAsia="標楷體" w:hAnsi="Times New Roman" w:cs="Times New Roman"/>
              </w:rPr>
              <w:t>公益推廣曝光量</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9F4655"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CD3B57"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489"/>
        </w:trPr>
        <w:tc>
          <w:tcPr>
            <w:tcW w:w="709" w:type="dxa"/>
            <w:vMerge w:val="restart"/>
            <w:tcBorders>
              <w:top w:val="nil"/>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影響力</w:t>
            </w:r>
          </w:p>
        </w:tc>
        <w:tc>
          <w:tcPr>
            <w:tcW w:w="757" w:type="dxa"/>
            <w:vMerge w:val="restart"/>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發揮社會</w:t>
            </w:r>
            <w:r w:rsidRPr="00BD3AE1">
              <w:rPr>
                <w:rFonts w:ascii="Times New Roman" w:eastAsia="標楷體" w:hAnsi="Times New Roman" w:cs="Times New Roman"/>
              </w:rPr>
              <w:lastRenderedPageBreak/>
              <w:t>影響力</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lastRenderedPageBreak/>
              <w:t>質化研究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39"/>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6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342"/>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numPr>
                <w:ilvl w:val="0"/>
                <w:numId w:val="7"/>
              </w:numPr>
              <w:rPr>
                <w:rFonts w:ascii="Times New Roman" w:eastAsia="標楷體" w:hAnsi="Times New Roman" w:cs="Times New Roman"/>
              </w:rPr>
            </w:pPr>
            <w:r w:rsidRPr="00BD3AE1">
              <w:rPr>
                <w:rFonts w:ascii="Times New Roman" w:eastAsia="標楷體" w:hAnsi="Times New Roman" w:cs="Times New Roman"/>
              </w:rPr>
              <w:t>新聞媒體報導數量與報導主題及評價</w:t>
            </w:r>
          </w:p>
          <w:p w:rsidR="008001CF" w:rsidRPr="00BD3AE1" w:rsidRDefault="008001CF" w:rsidP="009F4655">
            <w:pPr>
              <w:numPr>
                <w:ilvl w:val="0"/>
                <w:numId w:val="7"/>
              </w:numPr>
              <w:rPr>
                <w:rFonts w:ascii="Times New Roman" w:eastAsia="標楷體" w:hAnsi="Times New Roman" w:cs="Times New Roman"/>
              </w:rPr>
            </w:pPr>
            <w:r w:rsidRPr="00BD3AE1">
              <w:rPr>
                <w:rFonts w:ascii="Times New Roman" w:eastAsia="標楷體" w:hAnsi="Times New Roman" w:cs="Times New Roman"/>
              </w:rPr>
              <w:t>經由節目</w:t>
            </w:r>
            <w:r w:rsidRPr="00BD3AE1">
              <w:rPr>
                <w:rFonts w:ascii="Times New Roman" w:eastAsia="標楷體" w:hAnsi="Times New Roman" w:cs="Times New Roman"/>
              </w:rPr>
              <w:t>/</w:t>
            </w:r>
            <w:r w:rsidRPr="00BD3AE1">
              <w:rPr>
                <w:rFonts w:ascii="Times New Roman" w:eastAsia="標楷體" w:hAnsi="Times New Roman" w:cs="Times New Roman"/>
              </w:rPr>
              <w:t>活動引發的社會討論個案</w:t>
            </w:r>
          </w:p>
          <w:p w:rsidR="008001CF" w:rsidRPr="00BD3AE1" w:rsidRDefault="008001CF" w:rsidP="009F4655">
            <w:pPr>
              <w:numPr>
                <w:ilvl w:val="0"/>
                <w:numId w:val="7"/>
              </w:numPr>
              <w:rPr>
                <w:rFonts w:ascii="Times New Roman" w:eastAsia="標楷體" w:hAnsi="Times New Roman" w:cs="Times New Roman"/>
              </w:rPr>
            </w:pPr>
            <w:r w:rsidRPr="00BD3AE1">
              <w:rPr>
                <w:rFonts w:ascii="Times New Roman" w:eastAsia="標楷體" w:hAnsi="Times New Roman" w:cs="Times New Roman"/>
              </w:rPr>
              <w:t>節目與國內公民團體社群</w:t>
            </w:r>
            <w:r w:rsidRPr="00BD3AE1">
              <w:rPr>
                <w:rFonts w:ascii="Times New Roman" w:eastAsia="標楷體" w:hAnsi="Times New Roman" w:cs="Times New Roman"/>
              </w:rPr>
              <w:t>/</w:t>
            </w:r>
            <w:r w:rsidRPr="00BD3AE1">
              <w:rPr>
                <w:rFonts w:ascii="Times New Roman" w:eastAsia="標楷體" w:hAnsi="Times New Roman" w:cs="Times New Roman"/>
              </w:rPr>
              <w:t>學術社群</w:t>
            </w:r>
            <w:r w:rsidRPr="00BD3AE1">
              <w:rPr>
                <w:rFonts w:ascii="Times New Roman" w:eastAsia="標楷體" w:hAnsi="Times New Roman" w:cs="Times New Roman"/>
              </w:rPr>
              <w:t>/</w:t>
            </w:r>
            <w:r w:rsidRPr="00BD3AE1">
              <w:rPr>
                <w:rFonts w:ascii="Times New Roman" w:eastAsia="標楷體" w:hAnsi="Times New Roman" w:cs="Times New Roman"/>
              </w:rPr>
              <w:t>傳播新聞廣電及數位科技社群互動協辦之活動參與數量</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497"/>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6A1222">
            <w:pPr>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影響力調查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3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信任度</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3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553"/>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FE6B74">
            <w:pPr>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信任度調查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47"/>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需要度</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47"/>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569"/>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E65175">
            <w:pPr>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需要度調查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2690"/>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國際露出</w:t>
            </w:r>
          </w:p>
        </w:tc>
        <w:tc>
          <w:tcPr>
            <w:tcW w:w="3496" w:type="dxa"/>
            <w:tcBorders>
              <w:left w:val="single" w:sz="4" w:space="0" w:color="auto"/>
              <w:right w:val="single" w:sz="4" w:space="0" w:color="auto"/>
            </w:tcBorders>
            <w:shd w:val="clear" w:color="auto" w:fill="auto"/>
            <w:vAlign w:val="center"/>
          </w:tcPr>
          <w:p w:rsidR="008001CF" w:rsidRPr="00BD3AE1" w:rsidRDefault="008001CF" w:rsidP="005A1F07">
            <w:pPr>
              <w:numPr>
                <w:ilvl w:val="0"/>
                <w:numId w:val="17"/>
              </w:numPr>
              <w:rPr>
                <w:rFonts w:ascii="Times New Roman" w:eastAsia="標楷體" w:hAnsi="Times New Roman" w:cs="Times New Roman"/>
              </w:rPr>
            </w:pPr>
            <w:r w:rsidRPr="00BD3AE1">
              <w:rPr>
                <w:rFonts w:ascii="Times New Roman" w:eastAsia="標楷體" w:hAnsi="Times New Roman" w:cs="Times New Roman"/>
              </w:rPr>
              <w:t>國際播出時數</w:t>
            </w:r>
            <w:r w:rsidRPr="00BD3AE1">
              <w:rPr>
                <w:rFonts w:ascii="Times New Roman" w:eastAsia="標楷體" w:hAnsi="Times New Roman" w:cs="Times New Roman"/>
              </w:rPr>
              <w:t>/</w:t>
            </w:r>
            <w:r w:rsidRPr="00BD3AE1">
              <w:rPr>
                <w:rFonts w:ascii="Times New Roman" w:eastAsia="標楷體" w:hAnsi="Times New Roman" w:cs="Times New Roman"/>
              </w:rPr>
              <w:t>國際播出頻道</w:t>
            </w:r>
            <w:r w:rsidRPr="00BD3AE1">
              <w:rPr>
                <w:rFonts w:ascii="Times New Roman" w:eastAsia="標楷體" w:hAnsi="Times New Roman" w:cs="Times New Roman"/>
              </w:rPr>
              <w:t>/</w:t>
            </w:r>
            <w:r w:rsidRPr="00BD3AE1">
              <w:rPr>
                <w:rFonts w:ascii="Times New Roman" w:eastAsia="標楷體" w:hAnsi="Times New Roman" w:cs="Times New Roman"/>
              </w:rPr>
              <w:t>國別分佈</w:t>
            </w:r>
            <w:r w:rsidR="005A1F07">
              <w:rPr>
                <w:rFonts w:ascii="Times New Roman" w:eastAsia="標楷體" w:hAnsi="Times New Roman" w:cs="Times New Roman" w:hint="eastAsia"/>
              </w:rPr>
              <w:t>/</w:t>
            </w:r>
            <w:r w:rsidR="005A1F07" w:rsidRPr="005A1F07">
              <w:rPr>
                <w:rFonts w:ascii="Times New Roman" w:eastAsia="標楷體" w:hAnsi="Times New Roman" w:cs="Times New Roman" w:hint="eastAsia"/>
              </w:rPr>
              <w:t>播出類型</w:t>
            </w:r>
          </w:p>
          <w:p w:rsidR="008001CF" w:rsidRPr="00BD3AE1" w:rsidRDefault="008001CF" w:rsidP="00605994">
            <w:pPr>
              <w:numPr>
                <w:ilvl w:val="0"/>
                <w:numId w:val="17"/>
              </w:numPr>
              <w:rPr>
                <w:rFonts w:ascii="Times New Roman" w:eastAsia="標楷體" w:hAnsi="Times New Roman" w:cs="Times New Roman"/>
              </w:rPr>
            </w:pPr>
            <w:r w:rsidRPr="00BD3AE1">
              <w:rPr>
                <w:rFonts w:ascii="Times New Roman" w:eastAsia="標楷體" w:hAnsi="Times New Roman" w:cs="Times New Roman"/>
              </w:rPr>
              <w:t>國際參展次數</w:t>
            </w:r>
            <w:r w:rsidRPr="00BD3AE1">
              <w:rPr>
                <w:rFonts w:ascii="Times New Roman" w:eastAsia="標楷體" w:hAnsi="Times New Roman" w:cs="Times New Roman"/>
              </w:rPr>
              <w:t>/</w:t>
            </w:r>
            <w:r w:rsidRPr="00BD3AE1">
              <w:rPr>
                <w:rFonts w:ascii="Times New Roman" w:eastAsia="標楷體" w:hAnsi="Times New Roman" w:cs="Times New Roman"/>
              </w:rPr>
              <w:t>參展節目項目</w:t>
            </w:r>
          </w:p>
          <w:p w:rsidR="008001CF" w:rsidRPr="00BD3AE1" w:rsidRDefault="008001CF" w:rsidP="00605994">
            <w:pPr>
              <w:numPr>
                <w:ilvl w:val="0"/>
                <w:numId w:val="17"/>
              </w:numPr>
              <w:rPr>
                <w:rFonts w:ascii="Times New Roman" w:eastAsia="標楷體" w:hAnsi="Times New Roman" w:cs="Times New Roman"/>
              </w:rPr>
            </w:pPr>
            <w:r w:rsidRPr="00BD3AE1">
              <w:rPr>
                <w:rFonts w:ascii="Times New Roman" w:eastAsia="標楷體" w:hAnsi="Times New Roman" w:cs="Times New Roman"/>
              </w:rPr>
              <w:t>國際合製時數／節目類型</w:t>
            </w:r>
          </w:p>
          <w:p w:rsidR="008001CF" w:rsidRPr="00BD3AE1" w:rsidRDefault="008001CF" w:rsidP="00605994">
            <w:pPr>
              <w:numPr>
                <w:ilvl w:val="0"/>
                <w:numId w:val="17"/>
              </w:numPr>
              <w:rPr>
                <w:rFonts w:ascii="Times New Roman" w:eastAsia="標楷體" w:hAnsi="Times New Roman" w:cs="Times New Roman"/>
              </w:rPr>
            </w:pPr>
            <w:r w:rsidRPr="00BD3AE1">
              <w:rPr>
                <w:rFonts w:ascii="Times New Roman" w:eastAsia="標楷體" w:hAnsi="Times New Roman" w:cs="Times New Roman"/>
              </w:rPr>
              <w:t>國際會議次數</w:t>
            </w:r>
            <w:r w:rsidRPr="00BD3AE1">
              <w:rPr>
                <w:rFonts w:ascii="Times New Roman" w:eastAsia="標楷體" w:hAnsi="Times New Roman" w:cs="Times New Roman"/>
              </w:rPr>
              <w:t>/</w:t>
            </w:r>
            <w:r w:rsidRPr="00BD3AE1">
              <w:rPr>
                <w:rFonts w:ascii="Times New Roman" w:eastAsia="標楷體" w:hAnsi="Times New Roman" w:cs="Times New Roman"/>
              </w:rPr>
              <w:t>國別分佈</w:t>
            </w:r>
            <w:r w:rsidRPr="00BD3AE1">
              <w:rPr>
                <w:rFonts w:ascii="Times New Roman" w:eastAsia="標楷體" w:hAnsi="Times New Roman" w:cs="Times New Roman"/>
              </w:rPr>
              <w:t>/</w:t>
            </w:r>
            <w:r w:rsidRPr="00BD3AE1">
              <w:rPr>
                <w:rFonts w:ascii="Times New Roman" w:eastAsia="標楷體" w:hAnsi="Times New Roman" w:cs="Times New Roman"/>
              </w:rPr>
              <w:t>會議主題</w:t>
            </w:r>
            <w:r w:rsidRPr="00BD3AE1">
              <w:rPr>
                <w:rFonts w:ascii="Times New Roman" w:eastAsia="標楷體" w:hAnsi="Times New Roman" w:cs="Times New Roman"/>
              </w:rPr>
              <w:t>/</w:t>
            </w:r>
            <w:r w:rsidRPr="00BD3AE1">
              <w:rPr>
                <w:rFonts w:ascii="Times New Roman" w:eastAsia="標楷體" w:hAnsi="Times New Roman" w:cs="Times New Roman"/>
              </w:rPr>
              <w:t>會議規模及層次（全球、洲際</w:t>
            </w:r>
            <w:r w:rsidRPr="00BD3AE1">
              <w:rPr>
                <w:rFonts w:ascii="Times New Roman" w:eastAsia="標楷體" w:hAnsi="Times New Roman" w:cs="Times New Roman"/>
              </w:rPr>
              <w:t>…</w:t>
            </w:r>
            <w:r w:rsidRPr="00BD3AE1">
              <w:rPr>
                <w:rFonts w:ascii="Times New Roman" w:eastAsia="標楷體" w:hAnsi="Times New Roman" w:cs="Times New Roman"/>
              </w:rPr>
              <w:t>等）</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1268"/>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pStyle w:val="aa"/>
              <w:numPr>
                <w:ilvl w:val="0"/>
                <w:numId w:val="25"/>
              </w:numPr>
              <w:ind w:leftChars="0"/>
              <w:rPr>
                <w:rFonts w:ascii="Times New Roman" w:eastAsia="標楷體" w:hAnsi="Times New Roman" w:cs="Times New Roman"/>
              </w:rPr>
            </w:pPr>
            <w:r w:rsidRPr="00BD3AE1">
              <w:rPr>
                <w:rFonts w:ascii="Times New Roman" w:eastAsia="標楷體" w:hAnsi="Times New Roman" w:cs="Times New Roman"/>
              </w:rPr>
              <w:t>海外行銷之節目</w:t>
            </w:r>
            <w:r w:rsidRPr="00BD3AE1">
              <w:rPr>
                <w:rFonts w:ascii="Times New Roman" w:eastAsia="標楷體" w:hAnsi="Times New Roman" w:cs="Times New Roman"/>
              </w:rPr>
              <w:t>/</w:t>
            </w:r>
            <w:r w:rsidRPr="00BD3AE1">
              <w:rPr>
                <w:rFonts w:ascii="Times New Roman" w:eastAsia="標楷體" w:hAnsi="Times New Roman" w:cs="Times New Roman"/>
              </w:rPr>
              <w:t>時數及金額</w:t>
            </w:r>
          </w:p>
          <w:p w:rsidR="008001CF" w:rsidRPr="00BD3AE1" w:rsidRDefault="008001CF" w:rsidP="00587687">
            <w:pPr>
              <w:pStyle w:val="aa"/>
              <w:numPr>
                <w:ilvl w:val="0"/>
                <w:numId w:val="25"/>
              </w:numPr>
              <w:ind w:leftChars="0"/>
              <w:rPr>
                <w:rFonts w:ascii="Times New Roman" w:eastAsia="標楷體" w:hAnsi="Times New Roman" w:cs="Times New Roman"/>
              </w:rPr>
            </w:pPr>
            <w:r w:rsidRPr="00BD3AE1">
              <w:rPr>
                <w:rFonts w:ascii="Times New Roman" w:eastAsia="標楷體" w:hAnsi="Times New Roman" w:cs="Times New Roman"/>
              </w:rPr>
              <w:t>參與國際市場展</w:t>
            </w:r>
            <w:r w:rsidRPr="00BD3AE1">
              <w:rPr>
                <w:rFonts w:ascii="Times New Roman" w:eastAsia="標楷體" w:hAnsi="Times New Roman" w:cs="Times New Roman"/>
              </w:rPr>
              <w:t>/</w:t>
            </w:r>
            <w:r w:rsidRPr="00BD3AE1">
              <w:rPr>
                <w:rFonts w:ascii="Times New Roman" w:eastAsia="標楷體" w:hAnsi="Times New Roman" w:cs="Times New Roman"/>
              </w:rPr>
              <w:t>接觸專業節目供應商、發行商等家數</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p>
        </w:tc>
      </w:tr>
      <w:tr w:rsidR="00BD3AE1" w:rsidRPr="00BD3AE1" w:rsidTr="00EF77D2">
        <w:trPr>
          <w:trHeight w:val="751"/>
        </w:trPr>
        <w:tc>
          <w:tcPr>
            <w:tcW w:w="709" w:type="dxa"/>
            <w:vMerge w:val="restart"/>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32535">
            <w:pPr>
              <w:rPr>
                <w:rFonts w:ascii="Times New Roman" w:eastAsia="標楷體" w:hAnsi="Times New Roman" w:cs="Times New Roman"/>
              </w:rPr>
            </w:pPr>
            <w:r w:rsidRPr="00BD3AE1">
              <w:rPr>
                <w:rFonts w:ascii="Times New Roman" w:eastAsia="標楷體" w:hAnsi="Times New Roman" w:cs="Times New Roman"/>
              </w:rPr>
              <w:t>參觀者人次屬性分佈（代表團體種類）</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719"/>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32535">
            <w:pPr>
              <w:rPr>
                <w:rFonts w:ascii="Times New Roman" w:eastAsia="標楷體" w:hAnsi="Times New Roman" w:cs="Times New Roman"/>
              </w:rPr>
            </w:pPr>
            <w:r w:rsidRPr="00BD3AE1">
              <w:rPr>
                <w:rFonts w:ascii="Times New Roman" w:eastAsia="標楷體" w:hAnsi="Times New Roman" w:cs="Times New Roman"/>
              </w:rPr>
              <w:t>教育服務參與人次</w:t>
            </w:r>
            <w:r w:rsidRPr="00BD3AE1">
              <w:rPr>
                <w:rFonts w:ascii="Times New Roman" w:eastAsia="標楷體" w:hAnsi="Times New Roman" w:cs="Times New Roman"/>
              </w:rPr>
              <w:t>(</w:t>
            </w:r>
            <w:r w:rsidRPr="00BD3AE1">
              <w:rPr>
                <w:rFonts w:ascii="Times New Roman" w:eastAsia="標楷體" w:hAnsi="Times New Roman" w:cs="Times New Roman"/>
              </w:rPr>
              <w:t>教學教育文化</w:t>
            </w:r>
            <w:r w:rsidRPr="00BD3AE1">
              <w:rPr>
                <w:rFonts w:ascii="Times New Roman" w:eastAsia="標楷體" w:hAnsi="Times New Roman" w:cs="Times New Roman"/>
              </w:rPr>
              <w:t>)</w:t>
            </w:r>
            <w:r w:rsidRPr="00BD3AE1">
              <w:rPr>
                <w:rFonts w:ascii="Times New Roman" w:eastAsia="標楷體" w:hAnsi="Times New Roman" w:cs="Times New Roman"/>
              </w:rPr>
              <w:t>、網路教育</w:t>
            </w:r>
            <w:r w:rsidRPr="00BD3AE1">
              <w:rPr>
                <w:rFonts w:ascii="Times New Roman" w:eastAsia="標楷體" w:hAnsi="Times New Roman" w:cs="Times New Roman"/>
              </w:rPr>
              <w:t>(</w:t>
            </w:r>
            <w:r w:rsidRPr="00BD3AE1">
              <w:rPr>
                <w:rFonts w:ascii="Times New Roman" w:eastAsia="標楷體" w:hAnsi="Times New Roman" w:cs="Times New Roman"/>
              </w:rPr>
              <w:t>節目</w:t>
            </w:r>
            <w:r w:rsidRPr="00BD3AE1">
              <w:rPr>
                <w:rFonts w:ascii="Times New Roman" w:eastAsia="標楷體" w:hAnsi="Times New Roman" w:cs="Times New Roman"/>
              </w:rPr>
              <w:t>)</w:t>
            </w:r>
            <w:r w:rsidRPr="00BD3AE1">
              <w:rPr>
                <w:rFonts w:ascii="Times New Roman" w:eastAsia="標楷體" w:hAnsi="Times New Roman" w:cs="Times New Roman"/>
              </w:rPr>
              <w:t>點閱</w:t>
            </w:r>
            <w:r w:rsidRPr="00BD3AE1">
              <w:rPr>
                <w:rFonts w:ascii="Times New Roman" w:eastAsia="標楷體" w:hAnsi="Times New Roman" w:cs="Times New Roman"/>
              </w:rPr>
              <w:t>(</w:t>
            </w:r>
            <w:r w:rsidRPr="00BD3AE1">
              <w:rPr>
                <w:rFonts w:ascii="Times New Roman" w:eastAsia="標楷體" w:hAnsi="Times New Roman" w:cs="Times New Roman"/>
              </w:rPr>
              <w:t>下載</w:t>
            </w:r>
            <w:r w:rsidRPr="00BD3AE1">
              <w:rPr>
                <w:rFonts w:ascii="Times New Roman" w:eastAsia="標楷體" w:hAnsi="Times New Roman" w:cs="Times New Roman"/>
              </w:rPr>
              <w:t>)</w:t>
            </w:r>
          </w:p>
          <w:p w:rsidR="003D1FD8" w:rsidRPr="00BD3AE1" w:rsidRDefault="003D1FD8" w:rsidP="00932535">
            <w:pPr>
              <w:rPr>
                <w:rFonts w:ascii="Times New Roman" w:eastAsia="標楷體" w:hAnsi="Times New Roman" w:cs="Times New Roman"/>
              </w:rPr>
            </w:pPr>
            <w:r w:rsidRPr="00BD3AE1">
              <w:rPr>
                <w:rFonts w:ascii="Times New Roman" w:eastAsia="標楷體" w:hAnsi="Times New Roman" w:cs="Times New Roman" w:hint="eastAsia"/>
              </w:rPr>
              <w:t>與政府或教育機構合作媒體教育培訓</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dstrike/>
              </w:rPr>
            </w:pP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1F0A9C"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686"/>
        </w:trPr>
        <w:tc>
          <w:tcPr>
            <w:tcW w:w="709" w:type="dxa"/>
            <w:vMerge/>
            <w:tcBorders>
              <w:left w:val="single" w:sz="12" w:space="0" w:color="auto"/>
              <w:bottom w:val="nil"/>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bottom w:val="nil"/>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5"/>
        </w:trPr>
        <w:tc>
          <w:tcPr>
            <w:tcW w:w="709" w:type="dxa"/>
            <w:vMerge w:val="restart"/>
            <w:tcBorders>
              <w:top w:val="nil"/>
              <w:left w:val="single" w:sz="12"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公共服務</w:t>
            </w:r>
          </w:p>
        </w:tc>
        <w:tc>
          <w:tcPr>
            <w:tcW w:w="757" w:type="dxa"/>
            <w:vMerge w:val="restart"/>
            <w:tcBorders>
              <w:top w:val="nil"/>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資源分享、服務公民</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149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pStyle w:val="aa"/>
              <w:numPr>
                <w:ilvl w:val="0"/>
                <w:numId w:val="26"/>
              </w:numPr>
              <w:ind w:leftChars="0"/>
              <w:rPr>
                <w:rFonts w:ascii="Times New Roman" w:eastAsia="標楷體" w:hAnsi="Times New Roman" w:cs="Times New Roman"/>
              </w:rPr>
            </w:pPr>
            <w:r w:rsidRPr="00BD3AE1">
              <w:rPr>
                <w:rFonts w:ascii="Times New Roman" w:eastAsia="標楷體" w:hAnsi="Times New Roman" w:cs="Times New Roman"/>
              </w:rPr>
              <w:t>Peopo</w:t>
            </w:r>
            <w:r w:rsidRPr="00BD3AE1">
              <w:rPr>
                <w:rFonts w:ascii="Times New Roman" w:eastAsia="標楷體" w:hAnsi="Times New Roman" w:cs="Times New Roman"/>
              </w:rPr>
              <w:t>受邀前往外地工作坊次數</w:t>
            </w:r>
          </w:p>
          <w:p w:rsidR="008001CF" w:rsidRPr="00BD3AE1" w:rsidRDefault="008001CF" w:rsidP="00F049F9">
            <w:pPr>
              <w:pStyle w:val="aa"/>
              <w:numPr>
                <w:ilvl w:val="0"/>
                <w:numId w:val="26"/>
              </w:numPr>
              <w:ind w:leftChars="0"/>
              <w:rPr>
                <w:rFonts w:ascii="Times New Roman" w:eastAsia="標楷體" w:hAnsi="Times New Roman" w:cs="Times New Roman"/>
              </w:rPr>
            </w:pPr>
            <w:r w:rsidRPr="00BD3AE1">
              <w:rPr>
                <w:rFonts w:ascii="Times New Roman" w:eastAsia="標楷體" w:hAnsi="Times New Roman" w:cs="Times New Roman"/>
              </w:rPr>
              <w:t>全年服務及活動實際觸達人次達成情形</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30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pStyle w:val="aa"/>
              <w:numPr>
                <w:ilvl w:val="0"/>
                <w:numId w:val="27"/>
              </w:numPr>
              <w:ind w:leftChars="0"/>
              <w:rPr>
                <w:rFonts w:ascii="Times New Roman" w:eastAsia="標楷體" w:hAnsi="Times New Roman" w:cs="Times New Roman"/>
              </w:rPr>
            </w:pPr>
            <w:r w:rsidRPr="00BD3AE1">
              <w:rPr>
                <w:rFonts w:ascii="Times New Roman" w:eastAsia="標楷體" w:hAnsi="Times New Roman" w:cs="Times New Roman"/>
              </w:rPr>
              <w:t>客庄地區文化與產業傳播露出之區域比例</w:t>
            </w:r>
          </w:p>
          <w:p w:rsidR="008001CF" w:rsidRPr="00BD3AE1" w:rsidRDefault="008001CF" w:rsidP="009F4655">
            <w:pPr>
              <w:pStyle w:val="aa"/>
              <w:numPr>
                <w:ilvl w:val="0"/>
                <w:numId w:val="27"/>
              </w:numPr>
              <w:ind w:leftChars="0"/>
              <w:rPr>
                <w:rFonts w:ascii="Times New Roman" w:eastAsia="標楷體" w:hAnsi="Times New Roman" w:cs="Times New Roman"/>
              </w:rPr>
            </w:pPr>
            <w:r w:rsidRPr="00BD3AE1">
              <w:rPr>
                <w:rFonts w:ascii="Times New Roman" w:eastAsia="標楷體" w:hAnsi="Times New Roman" w:cs="Times New Roman"/>
              </w:rPr>
              <w:t>公民服務人次</w:t>
            </w:r>
            <w:r w:rsidRPr="00BD3AE1">
              <w:rPr>
                <w:rFonts w:ascii="Times New Roman" w:eastAsia="標楷體" w:hAnsi="Times New Roman" w:cs="Times New Roman"/>
              </w:rPr>
              <w:t>(</w:t>
            </w:r>
            <w:r w:rsidRPr="00BD3AE1">
              <w:rPr>
                <w:rFonts w:ascii="Times New Roman" w:eastAsia="標楷體" w:hAnsi="Times New Roman" w:cs="Times New Roman"/>
              </w:rPr>
              <w:t>參訪人次、校園活動人次、錄影人次、外部訓練人次、客家電視館參觀人次</w:t>
            </w:r>
            <w:r w:rsidRPr="00BD3AE1">
              <w:rPr>
                <w:rFonts w:ascii="Times New Roman" w:eastAsia="標楷體" w:hAnsi="Times New Roman" w:cs="Times New Roman"/>
              </w:rPr>
              <w:t>...)</w:t>
            </w:r>
          </w:p>
          <w:p w:rsidR="008001CF" w:rsidRPr="00BD3AE1" w:rsidRDefault="008001CF" w:rsidP="009F4655">
            <w:pPr>
              <w:pStyle w:val="aa"/>
              <w:numPr>
                <w:ilvl w:val="0"/>
                <w:numId w:val="27"/>
              </w:numPr>
              <w:ind w:leftChars="0"/>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（公民服務人次）達成情形</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3104"/>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提升產業環境</w:t>
            </w: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主</w:t>
            </w:r>
            <w:r w:rsidRPr="00BD3AE1">
              <w:rPr>
                <w:rFonts w:ascii="Times New Roman" w:eastAsia="標楷體" w:hAnsi="Times New Roman" w:cs="Times New Roman"/>
              </w:rPr>
              <w:t>(</w:t>
            </w:r>
            <w:r w:rsidRPr="00BD3AE1">
              <w:rPr>
                <w:rFonts w:ascii="Times New Roman" w:eastAsia="標楷體" w:hAnsi="Times New Roman" w:cs="Times New Roman"/>
              </w:rPr>
              <w:t>協</w:t>
            </w:r>
            <w:r w:rsidRPr="00BD3AE1">
              <w:rPr>
                <w:rFonts w:ascii="Times New Roman" w:eastAsia="標楷體" w:hAnsi="Times New Roman" w:cs="Times New Roman"/>
              </w:rPr>
              <w:t>)</w:t>
            </w:r>
            <w:r w:rsidRPr="00BD3AE1">
              <w:rPr>
                <w:rFonts w:ascii="Times New Roman" w:eastAsia="標楷體" w:hAnsi="Times New Roman" w:cs="Times New Roman"/>
              </w:rPr>
              <w:t>辦教育訓練次數</w:t>
            </w:r>
            <w:r w:rsidRPr="00BD3AE1">
              <w:rPr>
                <w:rFonts w:ascii="Times New Roman" w:eastAsia="標楷體" w:hAnsi="Times New Roman" w:cs="Times New Roman"/>
              </w:rPr>
              <w:t>/</w:t>
            </w:r>
            <w:r w:rsidRPr="00BD3AE1">
              <w:rPr>
                <w:rFonts w:ascii="Times New Roman" w:eastAsia="標楷體" w:hAnsi="Times New Roman" w:cs="Times New Roman"/>
              </w:rPr>
              <w:t>時數</w:t>
            </w:r>
            <w:r w:rsidRPr="00BD3AE1">
              <w:rPr>
                <w:rFonts w:ascii="Times New Roman" w:eastAsia="標楷體" w:hAnsi="Times New Roman" w:cs="Times New Roman"/>
              </w:rPr>
              <w:t>/</w:t>
            </w:r>
            <w:r w:rsidRPr="00BD3AE1">
              <w:rPr>
                <w:rFonts w:ascii="Times New Roman" w:eastAsia="標楷體" w:hAnsi="Times New Roman" w:cs="Times New Roman"/>
              </w:rPr>
              <w:t>人數</w:t>
            </w:r>
            <w:r w:rsidRPr="00BD3AE1">
              <w:rPr>
                <w:rFonts w:ascii="Times New Roman" w:eastAsia="標楷體" w:hAnsi="Times New Roman" w:cs="Times New Roman"/>
              </w:rPr>
              <w:t>/</w:t>
            </w:r>
            <w:r w:rsidRPr="00BD3AE1">
              <w:rPr>
                <w:rFonts w:ascii="Times New Roman" w:eastAsia="標楷體" w:hAnsi="Times New Roman" w:cs="Times New Roman"/>
              </w:rPr>
              <w:t>主題</w:t>
            </w:r>
          </w:p>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專業研討次數／時數／人數／主題</w:t>
            </w:r>
          </w:p>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委製節目時數／種類</w:t>
            </w:r>
          </w:p>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委製新製節目時數／種類</w:t>
            </w:r>
          </w:p>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委製單位家數／種類</w:t>
            </w:r>
          </w:p>
          <w:p w:rsidR="008001CF" w:rsidRPr="00BD3AE1" w:rsidRDefault="008001CF" w:rsidP="00587687">
            <w:pPr>
              <w:numPr>
                <w:ilvl w:val="0"/>
                <w:numId w:val="9"/>
              </w:numPr>
              <w:tabs>
                <w:tab w:val="clear" w:pos="1800"/>
                <w:tab w:val="num" w:pos="459"/>
              </w:tabs>
              <w:ind w:left="459" w:hanging="425"/>
              <w:rPr>
                <w:rFonts w:ascii="Times New Roman" w:eastAsia="標楷體" w:hAnsi="Times New Roman" w:cs="Times New Roman"/>
              </w:rPr>
            </w:pPr>
            <w:r w:rsidRPr="00BD3AE1">
              <w:rPr>
                <w:rFonts w:ascii="Times New Roman" w:eastAsia="標楷體" w:hAnsi="Times New Roman" w:cs="Times New Roman"/>
              </w:rPr>
              <w:t>傳播人才培育與合作</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852"/>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客家傳播人才培力人數</w:t>
            </w:r>
            <w:r w:rsidRPr="00BD3AE1">
              <w:rPr>
                <w:rFonts w:ascii="Times New Roman" w:eastAsia="標楷體" w:hAnsi="Times New Roman" w:cs="Times New Roman"/>
              </w:rPr>
              <w:t>)</w:t>
            </w:r>
            <w:r w:rsidRPr="00BD3AE1">
              <w:rPr>
                <w:rFonts w:ascii="Times New Roman" w:eastAsia="標楷體" w:hAnsi="Times New Roman" w:cs="Times New Roman"/>
              </w:rPr>
              <w:t>達成情形</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2264"/>
        </w:trPr>
        <w:tc>
          <w:tcPr>
            <w:tcW w:w="709" w:type="dxa"/>
            <w:vMerge/>
            <w:tcBorders>
              <w:left w:val="single" w:sz="12" w:space="0" w:color="auto"/>
              <w:bottom w:val="nil"/>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收視普及</w:t>
            </w:r>
          </w:p>
        </w:tc>
        <w:tc>
          <w:tcPr>
            <w:tcW w:w="3496" w:type="dxa"/>
            <w:tcBorders>
              <w:left w:val="single" w:sz="4" w:space="0" w:color="auto"/>
              <w:right w:val="single" w:sz="4" w:space="0" w:color="auto"/>
            </w:tcBorders>
            <w:shd w:val="clear" w:color="auto" w:fill="auto"/>
            <w:vAlign w:val="center"/>
          </w:tcPr>
          <w:p w:rsidR="008001CF" w:rsidRPr="00BD3AE1" w:rsidRDefault="008001CF" w:rsidP="00605994">
            <w:pPr>
              <w:pStyle w:val="aa"/>
              <w:numPr>
                <w:ilvl w:val="0"/>
                <w:numId w:val="10"/>
              </w:numPr>
              <w:tabs>
                <w:tab w:val="clear" w:pos="1800"/>
                <w:tab w:val="num" w:pos="459"/>
              </w:tabs>
              <w:ind w:leftChars="0" w:left="459" w:hanging="425"/>
              <w:rPr>
                <w:rFonts w:ascii="Times New Roman" w:eastAsia="標楷體" w:hAnsi="Times New Roman" w:cs="Times New Roman"/>
              </w:rPr>
            </w:pPr>
            <w:r w:rsidRPr="00BD3AE1">
              <w:rPr>
                <w:rFonts w:ascii="Times New Roman" w:eastAsia="標楷體" w:hAnsi="Times New Roman" w:cs="Times New Roman"/>
              </w:rPr>
              <w:t>數位涵蓋區域及區域人口數推估</w:t>
            </w:r>
          </w:p>
          <w:p w:rsidR="008001CF" w:rsidRPr="00BD3AE1" w:rsidRDefault="008001CF" w:rsidP="00605994">
            <w:pPr>
              <w:pStyle w:val="aa"/>
              <w:numPr>
                <w:ilvl w:val="0"/>
                <w:numId w:val="10"/>
              </w:numPr>
              <w:tabs>
                <w:tab w:val="clear" w:pos="1800"/>
                <w:tab w:val="num" w:pos="459"/>
              </w:tabs>
              <w:ind w:leftChars="0" w:left="459" w:hanging="425"/>
              <w:rPr>
                <w:rFonts w:ascii="Times New Roman" w:eastAsia="標楷體" w:hAnsi="Times New Roman" w:cs="Times New Roman"/>
              </w:rPr>
            </w:pPr>
            <w:r w:rsidRPr="00BD3AE1">
              <w:rPr>
                <w:rFonts w:ascii="Times New Roman" w:eastAsia="標楷體" w:hAnsi="Times New Roman" w:cs="Times New Roman"/>
              </w:rPr>
              <w:t>數位訊號的清晰度及收訊穩定度</w:t>
            </w:r>
          </w:p>
          <w:p w:rsidR="008001CF" w:rsidRPr="00BD3AE1" w:rsidRDefault="008001CF" w:rsidP="00605994">
            <w:pPr>
              <w:pStyle w:val="aa"/>
              <w:numPr>
                <w:ilvl w:val="0"/>
                <w:numId w:val="10"/>
              </w:numPr>
              <w:tabs>
                <w:tab w:val="clear" w:pos="1800"/>
                <w:tab w:val="num" w:pos="459"/>
              </w:tabs>
              <w:ind w:leftChars="0" w:left="459" w:hanging="425"/>
              <w:rPr>
                <w:rFonts w:ascii="Times New Roman" w:eastAsia="標楷體" w:hAnsi="Times New Roman" w:cs="Times New Roman"/>
              </w:rPr>
            </w:pPr>
            <w:r w:rsidRPr="00BD3AE1">
              <w:rPr>
                <w:rFonts w:ascii="Times New Roman" w:eastAsia="標楷體" w:hAnsi="Times New Roman" w:cs="Times New Roman"/>
              </w:rPr>
              <w:t>全年中較不穩定的區域與時節，及因應改善狀況說明</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3D19B2">
            <w:pPr>
              <w:jc w:val="center"/>
              <w:rPr>
                <w:rFonts w:ascii="標楷體" w:eastAsia="標楷體" w:hAnsi="標楷體" w:cs="Times New Roman"/>
                <w:bCs/>
              </w:rPr>
            </w:pPr>
          </w:p>
        </w:tc>
      </w:tr>
      <w:tr w:rsidR="00BD3AE1" w:rsidRPr="00BD3AE1" w:rsidTr="00EF77D2">
        <w:trPr>
          <w:trHeight w:val="556"/>
        </w:trPr>
        <w:tc>
          <w:tcPr>
            <w:tcW w:w="709" w:type="dxa"/>
            <w:vMerge w:val="restart"/>
            <w:tcBorders>
              <w:top w:val="nil"/>
              <w:left w:val="single" w:sz="12"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公共服務</w:t>
            </w:r>
          </w:p>
        </w:tc>
        <w:tc>
          <w:tcPr>
            <w:tcW w:w="757" w:type="dxa"/>
            <w:vMerge w:val="restart"/>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數位發展</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相關產業技術合作項目／主題／數量</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6870D1">
            <w:pPr>
              <w:rPr>
                <w:rFonts w:ascii="Times New Roman" w:eastAsia="標楷體" w:hAnsi="Times New Roman" w:cs="Times New Roman"/>
              </w:rPr>
            </w:pPr>
            <w:r w:rsidRPr="00BD3AE1">
              <w:rPr>
                <w:rFonts w:ascii="Times New Roman" w:eastAsia="標楷體" w:hAnsi="Times New Roman" w:cs="Times New Roman"/>
              </w:rPr>
              <w:t>技術及研究報告的數量及主題</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提升多元族群傳播權</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556"/>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numPr>
                <w:ilvl w:val="0"/>
                <w:numId w:val="19"/>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各類型節目時數／分佔比例</w:t>
            </w:r>
          </w:p>
          <w:p w:rsidR="008001CF" w:rsidRDefault="008001CF" w:rsidP="009F4655">
            <w:pPr>
              <w:numPr>
                <w:ilvl w:val="0"/>
                <w:numId w:val="19"/>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各類型節目及目標觀眾設定說明</w:t>
            </w:r>
          </w:p>
          <w:p w:rsidR="00F9213D" w:rsidRPr="00F9213D" w:rsidRDefault="00F9213D" w:rsidP="00F9213D">
            <w:pPr>
              <w:numPr>
                <w:ilvl w:val="0"/>
                <w:numId w:val="19"/>
              </w:numPr>
              <w:tabs>
                <w:tab w:val="clear" w:pos="1800"/>
                <w:tab w:val="num" w:pos="432"/>
              </w:tabs>
              <w:ind w:left="432" w:hanging="425"/>
              <w:rPr>
                <w:rFonts w:ascii="Times New Roman" w:eastAsia="標楷體" w:hAnsi="Times New Roman" w:cs="Times New Roman"/>
              </w:rPr>
            </w:pPr>
            <w:r w:rsidRPr="00F9213D">
              <w:rPr>
                <w:rFonts w:ascii="Times New Roman" w:eastAsia="標楷體" w:hAnsi="Times New Roman" w:cs="Times New Roman" w:hint="eastAsia"/>
              </w:rPr>
              <w:t>客家</w:t>
            </w:r>
            <w:r w:rsidRPr="00F9213D">
              <w:rPr>
                <w:rFonts w:ascii="Times New Roman" w:eastAsia="標楷體" w:hAnsi="Times New Roman" w:cs="Times New Roman" w:hint="eastAsia"/>
              </w:rPr>
              <w:t>/</w:t>
            </w:r>
            <w:r w:rsidRPr="00F9213D">
              <w:rPr>
                <w:rFonts w:ascii="Times New Roman" w:eastAsia="標楷體" w:hAnsi="Times New Roman" w:cs="Times New Roman" w:hint="eastAsia"/>
              </w:rPr>
              <w:t>原住民</w:t>
            </w:r>
            <w:r w:rsidRPr="00F9213D">
              <w:rPr>
                <w:rFonts w:ascii="Times New Roman" w:eastAsia="標楷體" w:hAnsi="Times New Roman" w:cs="Times New Roman" w:hint="eastAsia"/>
              </w:rPr>
              <w:t>/</w:t>
            </w:r>
            <w:r w:rsidRPr="00F9213D">
              <w:rPr>
                <w:rFonts w:ascii="Times New Roman" w:eastAsia="標楷體" w:hAnsi="Times New Roman" w:cs="Times New Roman" w:hint="eastAsia"/>
              </w:rPr>
              <w:t>新住民節目內容的呈現比例</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1887"/>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pStyle w:val="aa"/>
              <w:numPr>
                <w:ilvl w:val="0"/>
                <w:numId w:val="28"/>
              </w:numPr>
              <w:ind w:leftChars="0"/>
              <w:rPr>
                <w:rFonts w:ascii="Times New Roman" w:eastAsia="標楷體" w:hAnsi="Times New Roman" w:cs="Times New Roman"/>
              </w:rPr>
            </w:pPr>
            <w:r w:rsidRPr="00BD3AE1">
              <w:rPr>
                <w:rFonts w:ascii="Times New Roman" w:eastAsia="標楷體" w:hAnsi="Times New Roman" w:cs="Times New Roman"/>
              </w:rPr>
              <w:t>客家族群員工專業訓練時數／主題</w:t>
            </w:r>
          </w:p>
          <w:p w:rsidR="008001CF" w:rsidRPr="00BD3AE1" w:rsidRDefault="008001CF" w:rsidP="009F4655">
            <w:pPr>
              <w:pStyle w:val="aa"/>
              <w:numPr>
                <w:ilvl w:val="0"/>
                <w:numId w:val="28"/>
              </w:numPr>
              <w:ind w:leftChars="0"/>
              <w:rPr>
                <w:rFonts w:ascii="Times New Roman" w:eastAsia="標楷體" w:hAnsi="Times New Roman" w:cs="Times New Roman"/>
              </w:rPr>
            </w:pPr>
            <w:r w:rsidRPr="00BD3AE1">
              <w:rPr>
                <w:rFonts w:ascii="Times New Roman" w:eastAsia="標楷體" w:hAnsi="Times New Roman" w:cs="Times New Roman"/>
              </w:rPr>
              <w:t>客家族群人才進用人數與比例</w:t>
            </w:r>
          </w:p>
          <w:p w:rsidR="008001CF" w:rsidRPr="00BD3AE1" w:rsidRDefault="008001CF" w:rsidP="00E65175">
            <w:pPr>
              <w:pStyle w:val="aa"/>
              <w:numPr>
                <w:ilvl w:val="0"/>
                <w:numId w:val="28"/>
              </w:numPr>
              <w:ind w:leftChars="0"/>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公共服務調查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3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發揚族群語言與文</w:t>
            </w:r>
            <w:r w:rsidRPr="00BD3AE1">
              <w:rPr>
                <w:rFonts w:ascii="Times New Roman" w:eastAsia="標楷體" w:hAnsi="Times New Roman" w:cs="Times New Roman"/>
              </w:rPr>
              <w:lastRenderedPageBreak/>
              <w:t>化</w:t>
            </w: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lastRenderedPageBreak/>
              <w:t>質化研究</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3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553"/>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觀眾意見調查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rPr>
            </w:pPr>
          </w:p>
        </w:tc>
      </w:tr>
      <w:tr w:rsidR="00BD3AE1" w:rsidRPr="00BD3AE1" w:rsidTr="00EF77D2">
        <w:trPr>
          <w:trHeight w:val="1952"/>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pStyle w:val="aa"/>
              <w:numPr>
                <w:ilvl w:val="0"/>
                <w:numId w:val="29"/>
              </w:numPr>
              <w:ind w:leftChars="0"/>
              <w:rPr>
                <w:rFonts w:ascii="Times New Roman" w:eastAsia="標楷體" w:hAnsi="Times New Roman" w:cs="Times New Roman"/>
              </w:rPr>
            </w:pPr>
            <w:r w:rsidRPr="00BD3AE1">
              <w:rPr>
                <w:rFonts w:ascii="Times New Roman" w:eastAsia="標楷體" w:hAnsi="Times New Roman" w:cs="Times New Roman"/>
              </w:rPr>
              <w:t>各語言</w:t>
            </w:r>
            <w:r w:rsidRPr="00BD3AE1">
              <w:rPr>
                <w:rFonts w:ascii="Times New Roman" w:eastAsia="標楷體" w:hAnsi="Times New Roman" w:cs="Times New Roman"/>
              </w:rPr>
              <w:t>(</w:t>
            </w:r>
            <w:r w:rsidRPr="00BD3AE1">
              <w:rPr>
                <w:rFonts w:ascii="Times New Roman" w:eastAsia="標楷體" w:hAnsi="Times New Roman" w:cs="Times New Roman"/>
              </w:rPr>
              <w:t>腔調</w:t>
            </w:r>
            <w:r w:rsidRPr="00BD3AE1">
              <w:rPr>
                <w:rFonts w:ascii="Times New Roman" w:eastAsia="標楷體" w:hAnsi="Times New Roman" w:cs="Times New Roman"/>
              </w:rPr>
              <w:t>)</w:t>
            </w:r>
            <w:r w:rsidRPr="00BD3AE1">
              <w:rPr>
                <w:rFonts w:ascii="Times New Roman" w:eastAsia="標楷體" w:hAnsi="Times New Roman" w:cs="Times New Roman"/>
              </w:rPr>
              <w:t>節目時數／分佔比例</w:t>
            </w:r>
            <w:r w:rsidRPr="00BD3AE1">
              <w:rPr>
                <w:rFonts w:ascii="Times New Roman" w:eastAsia="標楷體" w:hAnsi="Times New Roman" w:cs="Times New Roman"/>
              </w:rPr>
              <w:t xml:space="preserve"> (</w:t>
            </w:r>
            <w:r w:rsidRPr="00BD3AE1">
              <w:rPr>
                <w:rFonts w:ascii="Times New Roman" w:eastAsia="標楷體" w:hAnsi="Times New Roman" w:cs="Times New Roman"/>
              </w:rPr>
              <w:t>公、華：國台語；客：腔調</w:t>
            </w:r>
            <w:r w:rsidRPr="00BD3AE1">
              <w:rPr>
                <w:rFonts w:ascii="Times New Roman" w:eastAsia="標楷體" w:hAnsi="Times New Roman" w:cs="Times New Roman"/>
              </w:rPr>
              <w:t>)</w:t>
            </w:r>
          </w:p>
          <w:p w:rsidR="00AF7AF6" w:rsidRPr="00F9213D" w:rsidRDefault="008001CF" w:rsidP="00F9213D">
            <w:pPr>
              <w:pStyle w:val="aa"/>
              <w:numPr>
                <w:ilvl w:val="0"/>
                <w:numId w:val="29"/>
              </w:numPr>
              <w:ind w:leftChars="0"/>
              <w:rPr>
                <w:rFonts w:ascii="Times New Roman" w:eastAsia="標楷體" w:hAnsi="Times New Roman" w:cs="Times New Roman"/>
              </w:rPr>
            </w:pPr>
            <w:r w:rsidRPr="00BD3AE1">
              <w:rPr>
                <w:rFonts w:ascii="Times New Roman" w:eastAsia="標楷體" w:hAnsi="Times New Roman" w:cs="Times New Roman"/>
              </w:rPr>
              <w:t>節目時數</w:t>
            </w:r>
            <w:r w:rsidRPr="00BD3AE1">
              <w:rPr>
                <w:rFonts w:ascii="Times New Roman" w:eastAsia="標楷體" w:hAnsi="Times New Roman" w:cs="Times New Roman"/>
              </w:rPr>
              <w:t>/</w:t>
            </w:r>
            <w:r w:rsidRPr="00BD3AE1">
              <w:rPr>
                <w:rFonts w:ascii="Times New Roman" w:eastAsia="標楷體" w:hAnsi="Times New Roman" w:cs="Times New Roman"/>
              </w:rPr>
              <w:t>種類與語言指導</w:t>
            </w:r>
            <w:r w:rsidRPr="00BD3AE1">
              <w:rPr>
                <w:rFonts w:ascii="Times New Roman" w:eastAsia="標楷體" w:hAnsi="Times New Roman" w:cs="Times New Roman"/>
              </w:rPr>
              <w:t>(</w:t>
            </w:r>
            <w:r w:rsidRPr="00BD3AE1">
              <w:rPr>
                <w:rFonts w:ascii="Times New Roman" w:eastAsia="標楷體" w:hAnsi="Times New Roman" w:cs="Times New Roman"/>
              </w:rPr>
              <w:t>腔調</w:t>
            </w:r>
            <w:r w:rsidRPr="00BD3AE1">
              <w:rPr>
                <w:rFonts w:ascii="Times New Roman" w:eastAsia="標楷體" w:hAnsi="Times New Roman" w:cs="Times New Roman"/>
              </w:rPr>
              <w:t>)/</w:t>
            </w:r>
            <w:r w:rsidRPr="00BD3AE1">
              <w:rPr>
                <w:rFonts w:ascii="Times New Roman" w:eastAsia="標楷體" w:hAnsi="Times New Roman" w:cs="Times New Roman"/>
              </w:rPr>
              <w:t>諮詢之情形</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61"/>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8F1FCF">
            <w:pPr>
              <w:rPr>
                <w:rFonts w:ascii="Times New Roman" w:eastAsia="標楷體" w:hAnsi="Times New Roman" w:cs="Times New Roman"/>
              </w:rPr>
            </w:pPr>
            <w:r w:rsidRPr="00BD3AE1">
              <w:rPr>
                <w:rFonts w:ascii="Times New Roman" w:eastAsia="標楷體" w:hAnsi="Times New Roman" w:cs="Times New Roman"/>
              </w:rPr>
              <w:t>收視質研究</w:t>
            </w:r>
            <w:r w:rsidRPr="00BD3AE1">
              <w:rPr>
                <w:rFonts w:ascii="Times New Roman" w:eastAsia="標楷體" w:hAnsi="Times New Roman" w:cs="Times New Roman"/>
              </w:rPr>
              <w:t>(</w:t>
            </w:r>
            <w:r w:rsidRPr="00BD3AE1">
              <w:rPr>
                <w:rFonts w:ascii="Times New Roman" w:eastAsia="標楷體" w:hAnsi="Times New Roman" w:cs="Times New Roman"/>
              </w:rPr>
              <w:t>公共服務調查</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61"/>
        </w:trPr>
        <w:tc>
          <w:tcPr>
            <w:tcW w:w="709" w:type="dxa"/>
            <w:vMerge w:val="restart"/>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營運效率</w:t>
            </w: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運作透明化</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493"/>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質化研究</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r>
      <w:tr w:rsidR="00BD3AE1" w:rsidRPr="00BD3AE1" w:rsidTr="00EF77D2">
        <w:trPr>
          <w:trHeight w:val="409"/>
        </w:trPr>
        <w:tc>
          <w:tcPr>
            <w:tcW w:w="709" w:type="dxa"/>
            <w:vMerge/>
            <w:tcBorders>
              <w:left w:val="single" w:sz="12" w:space="0" w:color="auto"/>
              <w:bottom w:val="nil"/>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bottom w:val="nil"/>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pStyle w:val="aa"/>
              <w:numPr>
                <w:ilvl w:val="0"/>
                <w:numId w:val="30"/>
              </w:numPr>
              <w:ind w:leftChars="0"/>
              <w:rPr>
                <w:rFonts w:ascii="Times New Roman" w:eastAsia="標楷體" w:hAnsi="Times New Roman" w:cs="Times New Roman"/>
              </w:rPr>
            </w:pPr>
            <w:r w:rsidRPr="00BD3AE1">
              <w:rPr>
                <w:rFonts w:ascii="Times New Roman" w:eastAsia="標楷體" w:hAnsi="Times New Roman" w:cs="Times New Roman"/>
              </w:rPr>
              <w:t>公共檔案之界定範疇及公開查閱途徑之相關規定及作業要點文件</w:t>
            </w:r>
          </w:p>
          <w:p w:rsidR="008001CF" w:rsidRPr="00BD3AE1" w:rsidRDefault="008001CF" w:rsidP="00587687">
            <w:pPr>
              <w:pStyle w:val="aa"/>
              <w:numPr>
                <w:ilvl w:val="0"/>
                <w:numId w:val="30"/>
              </w:numPr>
              <w:ind w:leftChars="0"/>
              <w:rPr>
                <w:rFonts w:ascii="Times New Roman" w:eastAsia="標楷體" w:hAnsi="Times New Roman" w:cs="Times New Roman"/>
              </w:rPr>
            </w:pPr>
            <w:r w:rsidRPr="00BD3AE1">
              <w:rPr>
                <w:rFonts w:ascii="Times New Roman" w:eastAsia="標楷體" w:hAnsi="Times New Roman" w:cs="Times New Roman"/>
              </w:rPr>
              <w:t>財務資訊透明化的作法與公開頻率董監事會議紀錄內部公開查閱之途徑及頻率</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val="restart"/>
            <w:tcBorders>
              <w:top w:val="nil"/>
              <w:left w:val="single" w:sz="12" w:space="0" w:color="auto"/>
            </w:tcBorders>
            <w:shd w:val="clear" w:color="auto" w:fill="auto"/>
            <w:vAlign w:val="center"/>
          </w:tcPr>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FC5234" w:rsidRDefault="00FC5234" w:rsidP="00587687">
            <w:pPr>
              <w:rPr>
                <w:rFonts w:ascii="Times New Roman" w:eastAsia="標楷體" w:hAnsi="Times New Roman" w:cs="Times New Roman"/>
              </w:rPr>
            </w:pPr>
          </w:p>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營運效率</w:t>
            </w:r>
          </w:p>
        </w:tc>
        <w:tc>
          <w:tcPr>
            <w:tcW w:w="757" w:type="dxa"/>
            <w:tcBorders>
              <w:top w:val="nil"/>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pStyle w:val="aa"/>
              <w:numPr>
                <w:ilvl w:val="0"/>
                <w:numId w:val="30"/>
              </w:numPr>
              <w:ind w:leftChars="0"/>
              <w:rPr>
                <w:rFonts w:ascii="Times New Roman" w:eastAsia="標楷體" w:hAnsi="Times New Roman" w:cs="Times New Roman"/>
              </w:rPr>
            </w:pPr>
            <w:r w:rsidRPr="00BD3AE1">
              <w:rPr>
                <w:rFonts w:ascii="Times New Roman" w:eastAsia="標楷體" w:hAnsi="Times New Roman" w:cs="Times New Roman"/>
              </w:rPr>
              <w:t>主管會報會議記錄內部公開查閱之途徑及頻率</w:t>
            </w:r>
          </w:p>
          <w:p w:rsidR="008001CF" w:rsidRPr="00BD3AE1" w:rsidRDefault="008001CF" w:rsidP="009F4655">
            <w:pPr>
              <w:pStyle w:val="aa"/>
              <w:numPr>
                <w:ilvl w:val="0"/>
                <w:numId w:val="30"/>
              </w:numPr>
              <w:ind w:leftChars="0"/>
              <w:rPr>
                <w:rFonts w:ascii="Times New Roman" w:eastAsia="標楷體" w:hAnsi="Times New Roman" w:cs="Times New Roman"/>
              </w:rPr>
            </w:pPr>
            <w:r w:rsidRPr="00BD3AE1">
              <w:rPr>
                <w:rFonts w:ascii="Times New Roman" w:eastAsia="標楷體" w:hAnsi="Times New Roman" w:cs="Times New Roman"/>
              </w:rPr>
              <w:t>一級主管佈達決策之途徑及方式說明</w:t>
            </w:r>
          </w:p>
          <w:p w:rsidR="008001CF" w:rsidRPr="00BD3AE1" w:rsidRDefault="008001CF" w:rsidP="009F4655">
            <w:pPr>
              <w:pStyle w:val="aa"/>
              <w:numPr>
                <w:ilvl w:val="0"/>
                <w:numId w:val="30"/>
              </w:numPr>
              <w:ind w:leftChars="0"/>
              <w:rPr>
                <w:rFonts w:ascii="Times New Roman" w:eastAsia="標楷體" w:hAnsi="Times New Roman" w:cs="Times New Roman"/>
              </w:rPr>
            </w:pPr>
            <w:r w:rsidRPr="00BD3AE1">
              <w:rPr>
                <w:rFonts w:ascii="Times New Roman" w:eastAsia="標楷體" w:hAnsi="Times New Roman" w:cs="Times New Roman"/>
              </w:rPr>
              <w:t>員工意見回饋機制及途徑</w:t>
            </w:r>
            <w:r w:rsidRPr="00BD3AE1">
              <w:rPr>
                <w:rFonts w:ascii="Times New Roman" w:eastAsia="標楷體" w:hAnsi="Times New Roman" w:cs="Times New Roman"/>
              </w:rPr>
              <w:t>(</w:t>
            </w:r>
            <w:r w:rsidRPr="00BD3AE1">
              <w:rPr>
                <w:rFonts w:ascii="Times New Roman" w:eastAsia="標楷體" w:hAnsi="Times New Roman" w:cs="Times New Roman"/>
              </w:rPr>
              <w:t>當年人評會的討論事例</w:t>
            </w:r>
            <w:r w:rsidRPr="00BD3AE1">
              <w:rPr>
                <w:rFonts w:ascii="Times New Roman" w:eastAsia="標楷體" w:hAnsi="Times New Roman" w:cs="Times New Roman"/>
              </w:rPr>
              <w:t>)</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有效運用並開發資源</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numPr>
                <w:ilvl w:val="0"/>
                <w:numId w:val="15"/>
              </w:numPr>
              <w:tabs>
                <w:tab w:val="clear" w:pos="1800"/>
              </w:tabs>
              <w:ind w:left="432" w:hanging="425"/>
              <w:rPr>
                <w:rFonts w:ascii="Times New Roman" w:eastAsia="標楷體" w:hAnsi="Times New Roman" w:cs="Times New Roman"/>
              </w:rPr>
            </w:pPr>
            <w:r w:rsidRPr="00BD3AE1">
              <w:rPr>
                <w:rFonts w:ascii="Times New Roman" w:eastAsia="標楷體" w:hAnsi="Times New Roman" w:cs="Times New Roman"/>
              </w:rPr>
              <w:t>節目完成時間控管，延遲交片個案及原因</w:t>
            </w:r>
            <w:r w:rsidRPr="00BD3AE1">
              <w:rPr>
                <w:rFonts w:ascii="Times New Roman" w:eastAsia="標楷體" w:hAnsi="Times New Roman" w:cs="Times New Roman"/>
              </w:rPr>
              <w:t>(</w:t>
            </w:r>
            <w:r w:rsidRPr="00BD3AE1">
              <w:rPr>
                <w:rFonts w:ascii="Times New Roman" w:eastAsia="標楷體" w:hAnsi="Times New Roman" w:cs="Times New Roman"/>
              </w:rPr>
              <w:t>入庫時程控管</w:t>
            </w:r>
            <w:r w:rsidRPr="00BD3AE1">
              <w:rPr>
                <w:rFonts w:ascii="Times New Roman" w:eastAsia="標楷體" w:hAnsi="Times New Roman" w:cs="Times New Roman"/>
              </w:rPr>
              <w:t xml:space="preserve">) </w:t>
            </w:r>
          </w:p>
          <w:p w:rsidR="008001CF" w:rsidRPr="00BD3AE1" w:rsidRDefault="008001CF" w:rsidP="009F4655">
            <w:pPr>
              <w:numPr>
                <w:ilvl w:val="0"/>
                <w:numId w:val="15"/>
              </w:numPr>
              <w:tabs>
                <w:tab w:val="clear" w:pos="1800"/>
              </w:tabs>
              <w:ind w:left="432" w:hanging="425"/>
              <w:rPr>
                <w:rFonts w:ascii="Times New Roman" w:eastAsia="標楷體" w:hAnsi="Times New Roman" w:cs="Times New Roman"/>
              </w:rPr>
            </w:pPr>
            <w:r w:rsidRPr="00BD3AE1">
              <w:rPr>
                <w:rFonts w:ascii="Times New Roman" w:eastAsia="標楷體" w:hAnsi="Times New Roman" w:cs="Times New Roman"/>
              </w:rPr>
              <w:t>員工新製節目時數產出</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pStyle w:val="aa"/>
              <w:numPr>
                <w:ilvl w:val="0"/>
                <w:numId w:val="31"/>
              </w:numPr>
              <w:ind w:leftChars="0"/>
              <w:rPr>
                <w:rFonts w:ascii="Times New Roman" w:eastAsia="標楷體" w:hAnsi="Times New Roman" w:cs="Times New Roman"/>
              </w:rPr>
            </w:pPr>
            <w:r w:rsidRPr="00BD3AE1">
              <w:rPr>
                <w:rFonts w:ascii="Times New Roman" w:eastAsia="標楷體" w:hAnsi="Times New Roman" w:cs="Times New Roman"/>
              </w:rPr>
              <w:t>節目發行／版權銷售收入</w:t>
            </w:r>
          </w:p>
          <w:p w:rsidR="008001CF" w:rsidRPr="00BD3AE1" w:rsidRDefault="008001CF" w:rsidP="009F4655">
            <w:pPr>
              <w:pStyle w:val="aa"/>
              <w:numPr>
                <w:ilvl w:val="0"/>
                <w:numId w:val="31"/>
              </w:numPr>
              <w:ind w:leftChars="0"/>
              <w:rPr>
                <w:rFonts w:ascii="Times New Roman" w:eastAsia="標楷體" w:hAnsi="Times New Roman" w:cs="Times New Roman"/>
              </w:rPr>
            </w:pPr>
            <w:r w:rsidRPr="00BD3AE1">
              <w:rPr>
                <w:rFonts w:ascii="Times New Roman" w:eastAsia="標楷體" w:hAnsi="Times New Roman" w:cs="Times New Roman"/>
              </w:rPr>
              <w:t>募款及廣告收入</w:t>
            </w:r>
          </w:p>
          <w:p w:rsidR="008001CF" w:rsidRPr="00BD3AE1" w:rsidRDefault="008001CF" w:rsidP="009F4655">
            <w:pPr>
              <w:pStyle w:val="aa"/>
              <w:numPr>
                <w:ilvl w:val="0"/>
                <w:numId w:val="31"/>
              </w:numPr>
              <w:ind w:leftChars="0"/>
              <w:rPr>
                <w:rFonts w:ascii="Times New Roman" w:eastAsia="標楷體" w:hAnsi="Times New Roman" w:cs="Times New Roman"/>
              </w:rPr>
            </w:pPr>
            <w:r w:rsidRPr="00BD3AE1">
              <w:rPr>
                <w:rFonts w:ascii="Times New Roman" w:eastAsia="標楷體" w:hAnsi="Times New Roman" w:cs="Times New Roman"/>
              </w:rPr>
              <w:t>專案收入</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9F4655">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年度</w:t>
            </w:r>
            <w:r w:rsidRPr="00BD3AE1">
              <w:rPr>
                <w:rFonts w:ascii="Times New Roman" w:eastAsia="標楷體" w:hAnsi="Times New Roman" w:cs="Times New Roman"/>
              </w:rPr>
              <w:t>KPI</w:t>
            </w:r>
            <w:r w:rsidRPr="00BD3AE1">
              <w:rPr>
                <w:rFonts w:ascii="Times New Roman" w:eastAsia="標楷體" w:hAnsi="Times New Roman" w:cs="Times New Roman"/>
              </w:rPr>
              <w:t>（自籌款）達成情形</w:t>
            </w:r>
          </w:p>
        </w:tc>
        <w:tc>
          <w:tcPr>
            <w:tcW w:w="710"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p>
        </w:tc>
        <w:tc>
          <w:tcPr>
            <w:tcW w:w="716"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9F4655">
            <w:pPr>
              <w:jc w:val="center"/>
              <w:rPr>
                <w:rFonts w:ascii="標楷體" w:eastAsia="標楷體" w:hAnsi="標楷體" w:cs="Times New Roman"/>
                <w:bCs/>
              </w:rPr>
            </w:pPr>
          </w:p>
        </w:tc>
        <w:tc>
          <w:tcPr>
            <w:tcW w:w="850" w:type="dxa"/>
            <w:tcBorders>
              <w:left w:val="single" w:sz="4" w:space="0" w:color="auto"/>
              <w:right w:val="single" w:sz="12" w:space="0" w:color="auto"/>
            </w:tcBorders>
            <w:vAlign w:val="center"/>
          </w:tcPr>
          <w:p w:rsidR="008001CF" w:rsidRPr="00BD3AE1" w:rsidRDefault="008001CF" w:rsidP="009F4655">
            <w:pPr>
              <w:jc w:val="center"/>
              <w:rPr>
                <w:rFonts w:ascii="標楷體" w:eastAsia="標楷體" w:hAnsi="標楷體" w:cs="Times New Roman"/>
                <w:bCs/>
              </w:rPr>
            </w:pP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人力資源活化</w:t>
            </w:r>
            <w:r w:rsidRPr="00BD3AE1">
              <w:rPr>
                <w:rFonts w:ascii="Times New Roman" w:eastAsia="標楷體" w:hAnsi="Times New Roman" w:cs="Times New Roman"/>
              </w:rPr>
              <w:lastRenderedPageBreak/>
              <w:t>與專業技能提升</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lastRenderedPageBreak/>
              <w:t>員工意見調查</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2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員工人力晉用數量及員工</w:t>
            </w:r>
            <w:r w:rsidRPr="00BD3AE1">
              <w:rPr>
                <w:rFonts w:ascii="Times New Roman" w:eastAsia="標楷體" w:hAnsi="Times New Roman" w:cs="Times New Roman"/>
              </w:rPr>
              <w:lastRenderedPageBreak/>
              <w:t>教育程度分佈</w:t>
            </w:r>
          </w:p>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員工平均年資（逐年比較）</w:t>
            </w:r>
          </w:p>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工作內容調整的員工人數</w:t>
            </w:r>
            <w:r w:rsidRPr="00BD3AE1">
              <w:rPr>
                <w:rFonts w:ascii="Times New Roman" w:eastAsia="標楷體" w:hAnsi="Times New Roman" w:cs="Times New Roman"/>
              </w:rPr>
              <w:t>/</w:t>
            </w:r>
            <w:r w:rsidRPr="00BD3AE1">
              <w:rPr>
                <w:rFonts w:ascii="Times New Roman" w:eastAsia="標楷體" w:hAnsi="Times New Roman" w:cs="Times New Roman"/>
              </w:rPr>
              <w:t>比例</w:t>
            </w:r>
          </w:p>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內部教育訓練主題／時數／參與人次</w:t>
            </w:r>
          </w:p>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員工赴國際媒體及相關產業機構進修／參訪人次／主題</w:t>
            </w:r>
          </w:p>
          <w:p w:rsidR="008001CF" w:rsidRPr="00BD3AE1" w:rsidRDefault="008001CF" w:rsidP="00587687">
            <w:pPr>
              <w:numPr>
                <w:ilvl w:val="0"/>
                <w:numId w:val="16"/>
              </w:numPr>
              <w:tabs>
                <w:tab w:val="clear" w:pos="1800"/>
                <w:tab w:val="num" w:pos="432"/>
              </w:tabs>
              <w:ind w:left="432" w:hanging="425"/>
              <w:rPr>
                <w:rFonts w:ascii="Times New Roman" w:eastAsia="標楷體" w:hAnsi="Times New Roman" w:cs="Times New Roman"/>
              </w:rPr>
            </w:pPr>
            <w:r w:rsidRPr="00BD3AE1">
              <w:rPr>
                <w:rFonts w:ascii="Times New Roman" w:eastAsia="標楷體" w:hAnsi="Times New Roman" w:cs="Times New Roman"/>
              </w:rPr>
              <w:t>研發經費及比例／佔全年財務支出</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473"/>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val="restart"/>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r w:rsidRPr="00BD3AE1">
              <w:rPr>
                <w:rFonts w:ascii="Times New Roman" w:eastAsia="標楷體" w:hAnsi="Times New Roman" w:cs="Times New Roman"/>
              </w:rPr>
              <w:t>提供公平合理的勞動條件</w:t>
            </w:r>
          </w:p>
        </w:tc>
        <w:tc>
          <w:tcPr>
            <w:tcW w:w="3496" w:type="dxa"/>
            <w:tcBorders>
              <w:left w:val="single" w:sz="4" w:space="0" w:color="auto"/>
              <w:right w:val="single" w:sz="4" w:space="0" w:color="auto"/>
            </w:tcBorders>
            <w:shd w:val="clear" w:color="auto" w:fill="auto"/>
            <w:vAlign w:val="center"/>
          </w:tcPr>
          <w:p w:rsidR="008001CF" w:rsidRPr="00BD3AE1" w:rsidRDefault="008001CF" w:rsidP="009F4655">
            <w:pPr>
              <w:rPr>
                <w:rFonts w:ascii="Times New Roman" w:eastAsia="標楷體" w:hAnsi="Times New Roman" w:cs="Times New Roman"/>
              </w:rPr>
            </w:pPr>
            <w:r w:rsidRPr="00BD3AE1">
              <w:rPr>
                <w:rFonts w:ascii="Times New Roman" w:eastAsia="標楷體" w:hAnsi="Times New Roman" w:cs="Times New Roman"/>
              </w:rPr>
              <w:t>員工意見調查</w:t>
            </w:r>
          </w:p>
        </w:tc>
        <w:tc>
          <w:tcPr>
            <w:tcW w:w="710"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r w:rsidR="00BD3AE1" w:rsidRPr="00BD3AE1" w:rsidTr="00EF77D2">
        <w:trPr>
          <w:trHeight w:val="575"/>
        </w:trPr>
        <w:tc>
          <w:tcPr>
            <w:tcW w:w="709" w:type="dxa"/>
            <w:vMerge/>
            <w:tcBorders>
              <w:left w:val="single" w:sz="12" w:space="0" w:color="auto"/>
            </w:tcBorders>
            <w:shd w:val="clear" w:color="auto" w:fill="auto"/>
            <w:vAlign w:val="center"/>
          </w:tcPr>
          <w:p w:rsidR="008001CF" w:rsidRPr="00BD3AE1" w:rsidRDefault="008001CF" w:rsidP="00587687">
            <w:pPr>
              <w:rPr>
                <w:rFonts w:ascii="Times New Roman" w:eastAsia="標楷體" w:hAnsi="Times New Roman" w:cs="Times New Roman"/>
              </w:rPr>
            </w:pPr>
          </w:p>
        </w:tc>
        <w:tc>
          <w:tcPr>
            <w:tcW w:w="757" w:type="dxa"/>
            <w:vMerge/>
            <w:tcBorders>
              <w:right w:val="single" w:sz="4" w:space="0" w:color="auto"/>
            </w:tcBorders>
            <w:shd w:val="clear" w:color="auto" w:fill="auto"/>
          </w:tcPr>
          <w:p w:rsidR="008001CF" w:rsidRPr="00BD3AE1" w:rsidRDefault="008001CF" w:rsidP="00587687">
            <w:pPr>
              <w:rPr>
                <w:rFonts w:ascii="Times New Roman" w:eastAsia="標楷體" w:hAnsi="Times New Roman" w:cs="Times New Roman"/>
              </w:rPr>
            </w:pPr>
          </w:p>
        </w:tc>
        <w:tc>
          <w:tcPr>
            <w:tcW w:w="3496" w:type="dxa"/>
            <w:tcBorders>
              <w:left w:val="single" w:sz="4" w:space="0" w:color="auto"/>
              <w:right w:val="single" w:sz="4" w:space="0" w:color="auto"/>
            </w:tcBorders>
            <w:shd w:val="clear" w:color="auto" w:fill="auto"/>
            <w:vAlign w:val="center"/>
          </w:tcPr>
          <w:p w:rsidR="008001CF" w:rsidRPr="00BD3AE1" w:rsidRDefault="008001CF" w:rsidP="00605994">
            <w:pPr>
              <w:numPr>
                <w:ilvl w:val="0"/>
                <w:numId w:val="18"/>
              </w:numPr>
              <w:tabs>
                <w:tab w:val="clear" w:pos="1800"/>
                <w:tab w:val="num" w:pos="459"/>
              </w:tabs>
              <w:ind w:left="459" w:hanging="452"/>
              <w:rPr>
                <w:rFonts w:ascii="Times New Roman" w:eastAsia="標楷體" w:hAnsi="Times New Roman" w:cs="Times New Roman"/>
              </w:rPr>
            </w:pPr>
            <w:r w:rsidRPr="00BD3AE1">
              <w:rPr>
                <w:rFonts w:ascii="Times New Roman" w:eastAsia="標楷體" w:hAnsi="Times New Roman" w:cs="Times New Roman"/>
              </w:rPr>
              <w:t>處理工會訴求及與工會之互動機制及途徑</w:t>
            </w:r>
          </w:p>
          <w:p w:rsidR="008001CF" w:rsidRPr="00BD3AE1" w:rsidRDefault="008001CF" w:rsidP="00605994">
            <w:pPr>
              <w:numPr>
                <w:ilvl w:val="0"/>
                <w:numId w:val="18"/>
              </w:numPr>
              <w:tabs>
                <w:tab w:val="clear" w:pos="1800"/>
                <w:tab w:val="num" w:pos="459"/>
              </w:tabs>
              <w:ind w:left="459" w:hanging="452"/>
              <w:rPr>
                <w:rFonts w:ascii="Times New Roman" w:eastAsia="標楷體" w:hAnsi="Times New Roman" w:cs="Times New Roman"/>
              </w:rPr>
            </w:pPr>
            <w:r w:rsidRPr="00BD3AE1">
              <w:rPr>
                <w:rFonts w:ascii="Times New Roman" w:eastAsia="標楷體" w:hAnsi="Times New Roman" w:cs="Times New Roman"/>
              </w:rPr>
              <w:t>員工平均薪資／各階層平均薪資分佈狀況</w:t>
            </w:r>
          </w:p>
          <w:p w:rsidR="008001CF" w:rsidRPr="00BD3AE1" w:rsidRDefault="008001CF" w:rsidP="00605994">
            <w:pPr>
              <w:numPr>
                <w:ilvl w:val="0"/>
                <w:numId w:val="18"/>
              </w:numPr>
              <w:tabs>
                <w:tab w:val="clear" w:pos="1800"/>
                <w:tab w:val="num" w:pos="459"/>
              </w:tabs>
              <w:ind w:left="459" w:hanging="452"/>
              <w:rPr>
                <w:rFonts w:ascii="Times New Roman" w:eastAsia="標楷體" w:hAnsi="Times New Roman" w:cs="Times New Roman"/>
              </w:rPr>
            </w:pPr>
            <w:r w:rsidRPr="00BD3AE1">
              <w:rPr>
                <w:rFonts w:ascii="Times New Roman" w:eastAsia="標楷體" w:hAnsi="Times New Roman" w:cs="Times New Roman"/>
              </w:rPr>
              <w:t>員工升遷、考核、休假、加薪及其他福利之相關規定及作法文件</w:t>
            </w:r>
          </w:p>
          <w:p w:rsidR="008001CF" w:rsidRPr="00BD3AE1" w:rsidRDefault="008001CF" w:rsidP="00605994">
            <w:pPr>
              <w:numPr>
                <w:ilvl w:val="0"/>
                <w:numId w:val="18"/>
              </w:numPr>
              <w:tabs>
                <w:tab w:val="clear" w:pos="1800"/>
                <w:tab w:val="num" w:pos="459"/>
              </w:tabs>
              <w:ind w:left="459" w:hanging="452"/>
              <w:rPr>
                <w:rFonts w:ascii="Times New Roman" w:eastAsia="標楷體" w:hAnsi="Times New Roman" w:cs="Times New Roman"/>
              </w:rPr>
            </w:pPr>
            <w:r w:rsidRPr="00BD3AE1">
              <w:rPr>
                <w:rFonts w:ascii="Times New Roman" w:eastAsia="標楷體" w:hAnsi="Times New Roman" w:cs="Times New Roman"/>
              </w:rPr>
              <w:t>員工申訴機制說明，當年申訴案件及其處理結果</w:t>
            </w:r>
          </w:p>
        </w:tc>
        <w:tc>
          <w:tcPr>
            <w:tcW w:w="710"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716" w:type="dxa"/>
            <w:tcBorders>
              <w:left w:val="single" w:sz="4" w:space="0" w:color="auto"/>
              <w:right w:val="single" w:sz="4" w:space="0" w:color="auto"/>
            </w:tcBorders>
            <w:vAlign w:val="center"/>
          </w:tcPr>
          <w:p w:rsidR="008001CF" w:rsidRPr="00BD3AE1" w:rsidRDefault="008001CF" w:rsidP="003D19B2">
            <w:pPr>
              <w:jc w:val="center"/>
              <w:rPr>
                <w:rFonts w:ascii="標楷體" w:eastAsia="標楷體" w:hAnsi="標楷體" w:cs="Times New Roman"/>
                <w:bCs/>
              </w:rPr>
            </w:pPr>
          </w:p>
        </w:tc>
        <w:tc>
          <w:tcPr>
            <w:tcW w:w="843"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rPr>
            </w:pPr>
            <w:r w:rsidRPr="00BD3AE1">
              <w:rPr>
                <w:rFonts w:ascii="標楷體" w:eastAsia="標楷體" w:hAnsi="標楷體" w:cs="Times New Roman" w:hint="eastAsia"/>
              </w:rPr>
              <w:t>●</w:t>
            </w:r>
          </w:p>
        </w:tc>
        <w:tc>
          <w:tcPr>
            <w:tcW w:w="851"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707" w:type="dxa"/>
            <w:tcBorders>
              <w:left w:val="single" w:sz="4" w:space="0" w:color="auto"/>
              <w:right w:val="single" w:sz="4"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c>
          <w:tcPr>
            <w:tcW w:w="850" w:type="dxa"/>
            <w:tcBorders>
              <w:left w:val="single" w:sz="4" w:space="0" w:color="auto"/>
              <w:right w:val="single" w:sz="12" w:space="0" w:color="auto"/>
            </w:tcBorders>
            <w:vAlign w:val="center"/>
          </w:tcPr>
          <w:p w:rsidR="008001CF" w:rsidRPr="00BD3AE1" w:rsidRDefault="008001CF" w:rsidP="00587687">
            <w:pPr>
              <w:jc w:val="center"/>
              <w:rPr>
                <w:rFonts w:ascii="標楷體" w:eastAsia="標楷體" w:hAnsi="標楷體" w:cs="Times New Roman"/>
                <w:bCs/>
              </w:rPr>
            </w:pPr>
            <w:r w:rsidRPr="00BD3AE1">
              <w:rPr>
                <w:rFonts w:ascii="標楷體" w:eastAsia="標楷體" w:hAnsi="標楷體" w:cs="Times New Roman" w:hint="eastAsia"/>
              </w:rPr>
              <w:t>●</w:t>
            </w:r>
          </w:p>
        </w:tc>
      </w:tr>
    </w:tbl>
    <w:p w:rsidR="006E6506" w:rsidRPr="00865BB6" w:rsidRDefault="006E6506">
      <w:pPr>
        <w:rPr>
          <w:rFonts w:ascii="標楷體" w:eastAsia="標楷體" w:hAnsi="標楷體" w:cs="Times New Roman"/>
        </w:rPr>
      </w:pPr>
    </w:p>
    <w:sectPr w:rsidR="006E6506" w:rsidRPr="00865BB6" w:rsidSect="004C6ADD">
      <w:footerReference w:type="default" r:id="rId10"/>
      <w:pgSz w:w="11906" w:h="16838" w:code="9"/>
      <w:pgMar w:top="1418" w:right="1134" w:bottom="1418" w:left="1134" w:header="680"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5E" w:rsidRDefault="00C4505E" w:rsidP="0029771A">
      <w:r>
        <w:separator/>
      </w:r>
    </w:p>
  </w:endnote>
  <w:endnote w:type="continuationSeparator" w:id="0">
    <w:p w:rsidR="00C4505E" w:rsidRDefault="00C4505E" w:rsidP="0029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4D" w:rsidRDefault="003A2F4D" w:rsidP="00A24FB7">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A2F4D" w:rsidRDefault="003A2F4D" w:rsidP="00A24FB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4D" w:rsidRDefault="003A2F4D">
    <w:pPr>
      <w:pStyle w:val="a8"/>
      <w:jc w:val="center"/>
    </w:pPr>
    <w:r>
      <w:fldChar w:fldCharType="begin"/>
    </w:r>
    <w:r>
      <w:instrText>PAGE   \* MERGEFORMAT</w:instrText>
    </w:r>
    <w:r>
      <w:fldChar w:fldCharType="separate"/>
    </w:r>
    <w:r w:rsidR="00620F5D" w:rsidRPr="00620F5D">
      <w:rPr>
        <w:noProof/>
        <w:lang w:val="zh-TW"/>
      </w:rPr>
      <w:t>4</w:t>
    </w:r>
    <w:r>
      <w:fldChar w:fldCharType="end"/>
    </w:r>
  </w:p>
  <w:p w:rsidR="003A2F4D" w:rsidRPr="00BB627B" w:rsidRDefault="003A2F4D" w:rsidP="001966B0">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69144"/>
      <w:docPartObj>
        <w:docPartGallery w:val="Page Numbers (Bottom of Page)"/>
        <w:docPartUnique/>
      </w:docPartObj>
    </w:sdtPr>
    <w:sdtEndPr/>
    <w:sdtContent>
      <w:p w:rsidR="007733FB" w:rsidRDefault="004C6ADD">
        <w:pPr>
          <w:pStyle w:val="a8"/>
          <w:jc w:val="center"/>
        </w:pPr>
        <w:r>
          <w:rPr>
            <w:rFonts w:hint="eastAsia"/>
          </w:rPr>
          <w:t>附件</w:t>
        </w:r>
        <w:r>
          <w:rPr>
            <w:rFonts w:hint="eastAsia"/>
          </w:rPr>
          <w:t>-</w:t>
        </w:r>
        <w:r w:rsidR="007733FB">
          <w:fldChar w:fldCharType="begin"/>
        </w:r>
        <w:r w:rsidR="007733FB">
          <w:instrText>PAGE   \* MERGEFORMAT</w:instrText>
        </w:r>
        <w:r w:rsidR="007733FB">
          <w:fldChar w:fldCharType="separate"/>
        </w:r>
        <w:r w:rsidR="00620F5D" w:rsidRPr="00620F5D">
          <w:rPr>
            <w:noProof/>
            <w:lang w:val="zh-TW"/>
          </w:rPr>
          <w:t>9</w:t>
        </w:r>
        <w:r w:rsidR="007733FB">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5E" w:rsidRDefault="00C4505E" w:rsidP="0029771A">
      <w:r>
        <w:separator/>
      </w:r>
    </w:p>
  </w:footnote>
  <w:footnote w:type="continuationSeparator" w:id="0">
    <w:p w:rsidR="00C4505E" w:rsidRDefault="00C4505E" w:rsidP="0029771A">
      <w:r>
        <w:continuationSeparator/>
      </w:r>
    </w:p>
  </w:footnote>
  <w:footnote w:id="1">
    <w:p w:rsidR="007733FB" w:rsidRPr="00F049F9" w:rsidRDefault="007733FB" w:rsidP="00C02A3C">
      <w:pPr>
        <w:pStyle w:val="a3"/>
        <w:ind w:left="120" w:hanging="120"/>
        <w:rPr>
          <w:sz w:val="22"/>
          <w:szCs w:val="22"/>
        </w:rPr>
      </w:pPr>
      <w:r>
        <w:rPr>
          <w:rStyle w:val="a5"/>
        </w:rPr>
        <w:footnoteRef/>
      </w:r>
      <w:r w:rsidRPr="00F049F9">
        <w:rPr>
          <w:rFonts w:hint="eastAsia"/>
          <w:sz w:val="22"/>
          <w:szCs w:val="22"/>
        </w:rPr>
        <w:t>各頻道既有資料包含：由各台各自提供之統計數字及委外研究資料；委外研究資料部分則為公視、客台各自委外進行之收視質研究調查資料。</w:t>
      </w:r>
    </w:p>
  </w:footnote>
  <w:footnote w:id="2">
    <w:p w:rsidR="007733FB" w:rsidRPr="00F049F9" w:rsidRDefault="007733FB">
      <w:pPr>
        <w:pStyle w:val="a3"/>
        <w:rPr>
          <w:sz w:val="22"/>
          <w:szCs w:val="22"/>
        </w:rPr>
      </w:pPr>
      <w:r w:rsidRPr="00F049F9">
        <w:rPr>
          <w:rStyle w:val="a5"/>
          <w:sz w:val="22"/>
          <w:szCs w:val="22"/>
        </w:rPr>
        <w:footnoteRef/>
      </w:r>
      <w:r w:rsidRPr="00F049F9">
        <w:rPr>
          <w:rFonts w:hint="eastAsia"/>
          <w:sz w:val="22"/>
          <w:szCs w:val="22"/>
        </w:rPr>
        <w:t>公視提供</w:t>
      </w:r>
      <w:r w:rsidRPr="00F049F9">
        <w:rPr>
          <w:rFonts w:hint="eastAsia"/>
          <w:sz w:val="22"/>
          <w:szCs w:val="22"/>
        </w:rPr>
        <w:t>4</w:t>
      </w:r>
      <w:r w:rsidRPr="00F049F9">
        <w:rPr>
          <w:rFonts w:hint="eastAsia"/>
          <w:sz w:val="22"/>
          <w:szCs w:val="22"/>
        </w:rPr>
        <w:t>歲以上的</w:t>
      </w:r>
      <w:r w:rsidRPr="00F049F9">
        <w:rPr>
          <w:rFonts w:hint="eastAsia"/>
          <w:sz w:val="22"/>
          <w:szCs w:val="22"/>
        </w:rPr>
        <w:t>AGB</w:t>
      </w:r>
      <w:r w:rsidRPr="00F049F9">
        <w:rPr>
          <w:rFonts w:hint="eastAsia"/>
          <w:sz w:val="22"/>
          <w:szCs w:val="22"/>
        </w:rPr>
        <w:t>尼爾森調查數據；華視提供</w:t>
      </w:r>
      <w:r w:rsidRPr="00F049F9">
        <w:rPr>
          <w:rFonts w:hint="eastAsia"/>
          <w:sz w:val="22"/>
          <w:szCs w:val="22"/>
        </w:rPr>
        <w:t>4</w:t>
      </w:r>
      <w:r w:rsidRPr="00F049F9">
        <w:rPr>
          <w:rFonts w:hint="eastAsia"/>
          <w:sz w:val="22"/>
          <w:szCs w:val="22"/>
        </w:rPr>
        <w:t>歲以上</w:t>
      </w:r>
      <w:r w:rsidRPr="00E06BF3">
        <w:rPr>
          <w:rFonts w:hint="eastAsia"/>
          <w:sz w:val="22"/>
          <w:szCs w:val="22"/>
        </w:rPr>
        <w:t>及</w:t>
      </w:r>
      <w:r w:rsidRPr="00E06BF3">
        <w:rPr>
          <w:kern w:val="0"/>
          <w:sz w:val="22"/>
        </w:rPr>
        <w:t>25-49</w:t>
      </w:r>
      <w:r w:rsidRPr="00E06BF3">
        <w:rPr>
          <w:rFonts w:hint="eastAsia"/>
          <w:sz w:val="22"/>
          <w:szCs w:val="22"/>
        </w:rPr>
        <w:t>歲兩</w:t>
      </w:r>
      <w:r w:rsidRPr="00F049F9">
        <w:rPr>
          <w:rFonts w:hint="eastAsia"/>
          <w:sz w:val="22"/>
          <w:szCs w:val="22"/>
        </w:rPr>
        <w:t>種數據。</w:t>
      </w:r>
    </w:p>
  </w:footnote>
  <w:footnote w:id="3">
    <w:p w:rsidR="007733FB" w:rsidRDefault="007733FB">
      <w:pPr>
        <w:pStyle w:val="a3"/>
      </w:pPr>
      <w:r w:rsidRPr="00F049F9">
        <w:rPr>
          <w:rStyle w:val="a5"/>
          <w:sz w:val="22"/>
          <w:szCs w:val="22"/>
        </w:rPr>
        <w:footnoteRef/>
      </w:r>
      <w:r w:rsidRPr="00F049F9">
        <w:rPr>
          <w:rFonts w:hint="eastAsia"/>
          <w:sz w:val="22"/>
          <w:szCs w:val="22"/>
        </w:rPr>
        <w:t>由委外研究單位取得北、中、南、東各</w:t>
      </w:r>
      <w:r w:rsidRPr="00F049F9">
        <w:rPr>
          <w:rFonts w:hint="eastAsia"/>
          <w:sz w:val="22"/>
          <w:szCs w:val="22"/>
        </w:rPr>
        <w:t>1</w:t>
      </w:r>
      <w:r w:rsidRPr="00F049F9">
        <w:rPr>
          <w:rFonts w:hint="eastAsia"/>
          <w:sz w:val="22"/>
          <w:szCs w:val="22"/>
        </w:rPr>
        <w:t>區之客庄地區隨機一週收視率。</w:t>
      </w:r>
    </w:p>
  </w:footnote>
  <w:footnote w:id="4">
    <w:p w:rsidR="007733FB" w:rsidRPr="00BD7E27" w:rsidRDefault="007733FB" w:rsidP="00334A36">
      <w:r>
        <w:rPr>
          <w:rStyle w:val="a5"/>
        </w:rPr>
        <w:footnoteRef/>
      </w:r>
      <w:r>
        <w:rPr>
          <w:rFonts w:asciiTheme="minorEastAsia" w:hAnsiTheme="minorEastAsia" w:cs="Times New Roman" w:hint="eastAsia"/>
          <w:sz w:val="22"/>
        </w:rPr>
        <w:t>公視：</w:t>
      </w:r>
      <w:r w:rsidRPr="00BD7E27">
        <w:rPr>
          <w:rFonts w:asciiTheme="minorEastAsia" w:hAnsiTheme="minorEastAsia" w:cs="Times New Roman" w:hint="eastAsia"/>
          <w:sz w:val="22"/>
        </w:rPr>
        <w:t>「公視不能不報」累積訂戶</w:t>
      </w:r>
      <w:r>
        <w:rPr>
          <w:rFonts w:asciiTheme="minorEastAsia" w:hAnsiTheme="minorEastAsia" w:cs="Times New Roman" w:hint="eastAsia"/>
          <w:sz w:val="22"/>
        </w:rPr>
        <w:t>。</w:t>
      </w:r>
    </w:p>
  </w:footnote>
  <w:footnote w:id="5">
    <w:p w:rsidR="007733FB" w:rsidRPr="002C7781" w:rsidRDefault="007733FB">
      <w:pPr>
        <w:pStyle w:val="a3"/>
      </w:pPr>
      <w:r>
        <w:rPr>
          <w:rStyle w:val="a5"/>
        </w:rPr>
        <w:footnoteRef/>
      </w:r>
      <w:r>
        <w:rPr>
          <w:rFonts w:asciiTheme="minorEastAsia" w:hAnsiTheme="minorEastAsia" w:hint="eastAsia"/>
          <w:sz w:val="22"/>
        </w:rPr>
        <w:t>公視：</w:t>
      </w:r>
      <w:r w:rsidRPr="002C7781">
        <w:rPr>
          <w:rFonts w:hint="eastAsia"/>
        </w:rPr>
        <w:t>計算官網</w:t>
      </w:r>
      <w:r w:rsidRPr="002C7781">
        <w:rPr>
          <w:rFonts w:hint="eastAsia"/>
        </w:rPr>
        <w:t>(</w:t>
      </w:r>
      <w:r w:rsidRPr="002C7781">
        <w:rPr>
          <w:rFonts w:hint="eastAsia"/>
        </w:rPr>
        <w:t>公視</w:t>
      </w:r>
      <w:r w:rsidRPr="002C7781">
        <w:rPr>
          <w:rFonts w:hint="eastAsia"/>
        </w:rPr>
        <w:t>+7</w:t>
      </w:r>
      <w:r w:rsidRPr="002C7781">
        <w:rPr>
          <w:rFonts w:hint="eastAsia"/>
        </w:rPr>
        <w:t>、影音網</w:t>
      </w:r>
      <w:r w:rsidRPr="002C7781">
        <w:rPr>
          <w:rFonts w:hint="eastAsia"/>
        </w:rPr>
        <w:t>)</w:t>
      </w:r>
      <w:r w:rsidRPr="002C7781">
        <w:rPr>
          <w:rFonts w:hint="eastAsia"/>
        </w:rPr>
        <w:t>、</w:t>
      </w:r>
      <w:r w:rsidRPr="002C7781">
        <w:rPr>
          <w:rFonts w:hint="eastAsia"/>
        </w:rPr>
        <w:t>YouTube</w:t>
      </w:r>
      <w:r w:rsidRPr="002C7781">
        <w:rPr>
          <w:rFonts w:hint="eastAsia"/>
        </w:rPr>
        <w:t>公視所有頻道影音點擊數</w:t>
      </w:r>
    </w:p>
  </w:footnote>
  <w:footnote w:id="6">
    <w:p w:rsidR="007733FB" w:rsidRDefault="007733FB">
      <w:pPr>
        <w:pStyle w:val="a3"/>
      </w:pPr>
      <w:r>
        <w:rPr>
          <w:rStyle w:val="a5"/>
        </w:rPr>
        <w:footnoteRef/>
      </w:r>
      <w:r w:rsidRPr="00334A36">
        <w:rPr>
          <w:rFonts w:asciiTheme="minorEastAsia" w:eastAsiaTheme="minorEastAsia" w:hAnsiTheme="minorEastAsia" w:hint="eastAsia"/>
          <w:sz w:val="22"/>
          <w:szCs w:val="22"/>
        </w:rPr>
        <w:t>依年度統計包含公視粉絲團、所有節目粉絲團的前述數據。粉絲數:粉絲專頁按讚數</w:t>
      </w:r>
      <w:r>
        <w:rPr>
          <w:rFonts w:asciiTheme="minorEastAsia" w:eastAsiaTheme="minorEastAsia" w:hAnsiTheme="minorEastAsia" w:hint="eastAsia"/>
          <w:sz w:val="22"/>
          <w:szCs w:val="22"/>
        </w:rPr>
        <w:t>。</w:t>
      </w:r>
      <w:r w:rsidRPr="00334A36">
        <w:rPr>
          <w:rFonts w:asciiTheme="minorEastAsia" w:eastAsiaTheme="minorEastAsia" w:hAnsiTheme="minorEastAsia" w:hint="eastAsia"/>
          <w:sz w:val="22"/>
          <w:szCs w:val="22"/>
        </w:rPr>
        <w:t>總觸及</w:t>
      </w:r>
      <w:r>
        <w:rPr>
          <w:rFonts w:asciiTheme="minorEastAsia" w:eastAsiaTheme="minorEastAsia" w:hAnsiTheme="minorEastAsia" w:hint="eastAsia"/>
          <w:sz w:val="22"/>
          <w:szCs w:val="22"/>
        </w:rPr>
        <w:t>人</w:t>
      </w:r>
      <w:r w:rsidRPr="00334A36">
        <w:rPr>
          <w:rFonts w:asciiTheme="minorEastAsia" w:eastAsiaTheme="minorEastAsia" w:hAnsiTheme="minorEastAsia" w:hint="eastAsia"/>
          <w:sz w:val="22"/>
          <w:szCs w:val="22"/>
        </w:rPr>
        <w:t>數</w:t>
      </w:r>
      <w:r>
        <w:rPr>
          <w:rFonts w:asciiTheme="minorEastAsia" w:eastAsiaTheme="minorEastAsia" w:hAnsiTheme="minorEastAsia" w:hint="eastAsia"/>
          <w:sz w:val="22"/>
          <w:szCs w:val="22"/>
        </w:rPr>
        <w:t>：看過任何和你的粉絲專頁有關內容的人數</w:t>
      </w:r>
      <w:r w:rsidRPr="00334A36">
        <w:rPr>
          <w:rFonts w:asciiTheme="minorEastAsia" w:eastAsiaTheme="minorEastAsia" w:hAnsiTheme="minorEastAsia" w:hint="eastAsia"/>
          <w:sz w:val="22"/>
          <w:szCs w:val="22"/>
        </w:rPr>
        <w:t>（不重複用戶）</w:t>
      </w:r>
      <w:r>
        <w:rPr>
          <w:rFonts w:asciiTheme="minorEastAsia" w:eastAsiaTheme="minorEastAsia" w:hAnsiTheme="minorEastAsia" w:hint="eastAsia"/>
          <w:sz w:val="22"/>
          <w:szCs w:val="22"/>
        </w:rPr>
        <w:t>。總瀏覽</w:t>
      </w:r>
      <w:r w:rsidRPr="00334A36">
        <w:rPr>
          <w:rFonts w:asciiTheme="minorEastAsia" w:eastAsiaTheme="minorEastAsia" w:hAnsiTheme="minorEastAsia" w:hint="eastAsia"/>
          <w:sz w:val="22"/>
          <w:szCs w:val="22"/>
        </w:rPr>
        <w:t>數：和你的粉絲專頁有關的內容瀏覽次數（總計）</w:t>
      </w:r>
      <w:r>
        <w:rPr>
          <w:rFonts w:asciiTheme="minorEastAsia" w:eastAsiaTheme="minorEastAsia" w:hAnsiTheme="minorEastAsia" w:hint="eastAsia"/>
          <w:sz w:val="22"/>
          <w:szCs w:val="22"/>
        </w:rPr>
        <w:t>。</w:t>
      </w:r>
    </w:p>
  </w:footnote>
  <w:footnote w:id="7">
    <w:p w:rsidR="007733FB" w:rsidRPr="00E06BF3" w:rsidRDefault="007733FB">
      <w:pPr>
        <w:pStyle w:val="a3"/>
        <w:rPr>
          <w:rFonts w:asciiTheme="minorEastAsia" w:eastAsiaTheme="minorEastAsia" w:hAnsiTheme="minorEastAsia"/>
          <w:sz w:val="22"/>
          <w:szCs w:val="22"/>
        </w:rPr>
      </w:pPr>
      <w:r w:rsidRPr="00E06BF3">
        <w:rPr>
          <w:rStyle w:val="a5"/>
          <w:rFonts w:asciiTheme="minorEastAsia" w:eastAsiaTheme="minorEastAsia" w:hAnsiTheme="minorEastAsia"/>
          <w:sz w:val="22"/>
          <w:szCs w:val="22"/>
        </w:rPr>
        <w:footnoteRef/>
      </w:r>
      <w:r w:rsidRPr="00E06BF3">
        <w:rPr>
          <w:rFonts w:asciiTheme="minorEastAsia" w:eastAsiaTheme="minorEastAsia" w:hAnsiTheme="minorEastAsia"/>
          <w:sz w:val="22"/>
          <w:szCs w:val="22"/>
        </w:rPr>
        <w:t xml:space="preserve"> </w:t>
      </w:r>
      <w:r w:rsidRPr="00E06BF3">
        <w:rPr>
          <w:rFonts w:asciiTheme="minorEastAsia" w:eastAsiaTheme="minorEastAsia" w:hAnsiTheme="minorEastAsia" w:hint="eastAsia"/>
          <w:sz w:val="22"/>
          <w:szCs w:val="22"/>
        </w:rPr>
        <w:t>以年度粉絲成長數換算。</w:t>
      </w:r>
    </w:p>
  </w:footnote>
  <w:footnote w:id="8">
    <w:p w:rsidR="007733FB" w:rsidRPr="00E06BF3" w:rsidRDefault="007733FB" w:rsidP="00063D02">
      <w:pPr>
        <w:pStyle w:val="a3"/>
        <w:rPr>
          <w:rFonts w:asciiTheme="minorEastAsia" w:eastAsiaTheme="minorEastAsia" w:hAnsiTheme="minorEastAsia"/>
          <w:sz w:val="22"/>
          <w:szCs w:val="22"/>
        </w:rPr>
      </w:pPr>
      <w:r w:rsidRPr="00E06BF3">
        <w:rPr>
          <w:rStyle w:val="a5"/>
        </w:rPr>
        <w:footnoteRef/>
      </w:r>
      <w:r w:rsidRPr="00E06BF3">
        <w:t xml:space="preserve"> </w:t>
      </w:r>
      <w:r w:rsidRPr="00E06BF3">
        <w:rPr>
          <w:rFonts w:asciiTheme="minorEastAsia" w:eastAsiaTheme="minorEastAsia" w:hAnsiTheme="minorEastAsia" w:hint="eastAsia"/>
          <w:sz w:val="22"/>
          <w:szCs w:val="22"/>
        </w:rPr>
        <w:t>總期間：曾點擊貼文任何位置的用戶人數(不重複用戶)。</w:t>
      </w:r>
    </w:p>
  </w:footnote>
  <w:footnote w:id="9">
    <w:p w:rsidR="007733FB" w:rsidRPr="007733FB" w:rsidRDefault="007733FB" w:rsidP="00C427C5">
      <w:pPr>
        <w:pStyle w:val="a3"/>
      </w:pPr>
      <w:r>
        <w:rPr>
          <w:rStyle w:val="a5"/>
        </w:rPr>
        <w:footnoteRef/>
      </w:r>
      <w:r w:rsidR="00C427C5">
        <w:rPr>
          <w:rFonts w:hint="eastAsia"/>
        </w:rPr>
        <w:t xml:space="preserve"> </w:t>
      </w:r>
      <w:r w:rsidR="00C427C5">
        <w:rPr>
          <w:rFonts w:hint="eastAsia"/>
        </w:rPr>
        <w:t>得標廠商就</w:t>
      </w:r>
      <w:r w:rsidR="00C427C5">
        <w:rPr>
          <w:rFonts w:hint="eastAsia"/>
        </w:rPr>
        <w:t>NPO</w:t>
      </w:r>
      <w:r w:rsidR="00C427C5">
        <w:rPr>
          <w:rFonts w:hint="eastAsia"/>
        </w:rPr>
        <w:t>類型應特別分類標示。</w:t>
      </w:r>
    </w:p>
  </w:footnote>
  <w:footnote w:id="10">
    <w:p w:rsidR="007733FB" w:rsidRPr="00E06BF3" w:rsidRDefault="007733FB">
      <w:pPr>
        <w:pStyle w:val="a3"/>
      </w:pPr>
      <w:r w:rsidRPr="00E06BF3">
        <w:rPr>
          <w:rStyle w:val="a5"/>
        </w:rPr>
        <w:footnoteRef/>
      </w:r>
      <w:r w:rsidRPr="00E06BF3">
        <w:t xml:space="preserve"> </w:t>
      </w:r>
      <w:r w:rsidRPr="00E06BF3">
        <w:rPr>
          <w:rFonts w:asciiTheme="minorEastAsia" w:eastAsiaTheme="minorEastAsia" w:hAnsiTheme="minorEastAsia" w:hint="eastAsia"/>
          <w:sz w:val="22"/>
          <w:szCs w:val="22"/>
        </w:rPr>
        <w:t>定義:統計PeoPo NPO NGO 申請帳號數、已發表的文章數。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684B"/>
    <w:multiLevelType w:val="hybridMultilevel"/>
    <w:tmpl w:val="BE2654DA"/>
    <w:lvl w:ilvl="0" w:tplc="33DC0B5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A60EDE"/>
    <w:multiLevelType w:val="hybridMultilevel"/>
    <w:tmpl w:val="1EA26DCE"/>
    <w:lvl w:ilvl="0" w:tplc="43021E2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43535C"/>
    <w:multiLevelType w:val="hybridMultilevel"/>
    <w:tmpl w:val="78B09DCA"/>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A033CD"/>
    <w:multiLevelType w:val="hybridMultilevel"/>
    <w:tmpl w:val="1B165F72"/>
    <w:lvl w:ilvl="0" w:tplc="731EC802">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255922"/>
    <w:multiLevelType w:val="hybridMultilevel"/>
    <w:tmpl w:val="8EB4FEF4"/>
    <w:lvl w:ilvl="0" w:tplc="D816498A">
      <w:start w:val="1"/>
      <w:numFmt w:val="decimal"/>
      <w:lvlText w:val="(%1)"/>
      <w:lvlJc w:val="left"/>
      <w:pPr>
        <w:ind w:left="2026" w:hanging="450"/>
      </w:pPr>
      <w:rPr>
        <w:rFonts w:hint="default"/>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5" w15:restartNumberingAfterBreak="0">
    <w:nsid w:val="1DB02834"/>
    <w:multiLevelType w:val="hybridMultilevel"/>
    <w:tmpl w:val="0E6CC9D6"/>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75155"/>
    <w:multiLevelType w:val="hybridMultilevel"/>
    <w:tmpl w:val="AE347D76"/>
    <w:lvl w:ilvl="0" w:tplc="4574CE58">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E41388"/>
    <w:multiLevelType w:val="hybridMultilevel"/>
    <w:tmpl w:val="26563034"/>
    <w:lvl w:ilvl="0" w:tplc="90CC8A0A">
      <w:start w:val="1"/>
      <w:numFmt w:val="taiwaneseCountingThousand"/>
      <w:lvlText w:val="%1、"/>
      <w:lvlJc w:val="left"/>
      <w:pPr>
        <w:tabs>
          <w:tab w:val="num" w:pos="977"/>
        </w:tabs>
        <w:ind w:left="1715" w:hanging="738"/>
      </w:pPr>
      <w:rPr>
        <w:rFonts w:hint="eastAsia"/>
      </w:rPr>
    </w:lvl>
    <w:lvl w:ilvl="1" w:tplc="3364C99A">
      <w:start w:val="1"/>
      <w:numFmt w:val="taiwaneseCountingThousand"/>
      <w:lvlText w:val="%2、"/>
      <w:lvlJc w:val="left"/>
      <w:pPr>
        <w:tabs>
          <w:tab w:val="num" w:pos="920"/>
        </w:tabs>
        <w:ind w:left="1398" w:hanging="480"/>
      </w:pPr>
      <w:rPr>
        <w:rFonts w:hint="eastAsia"/>
      </w:rPr>
    </w:lvl>
    <w:lvl w:ilvl="2" w:tplc="94E46224">
      <w:start w:val="1"/>
      <w:numFmt w:val="taiwaneseCountingThousand"/>
      <w:lvlText w:val="(%3)、"/>
      <w:lvlJc w:val="left"/>
      <w:pPr>
        <w:tabs>
          <w:tab w:val="num" w:pos="1701"/>
        </w:tabs>
        <w:ind w:left="1790" w:hanging="87"/>
      </w:pPr>
      <w:rPr>
        <w:rFonts w:hint="eastAsia"/>
        <w:dstrike/>
      </w:rPr>
    </w:lvl>
    <w:lvl w:ilvl="3" w:tplc="FE221460">
      <w:start w:val="1"/>
      <w:numFmt w:val="taiwaneseCountingThousand"/>
      <w:lvlText w:val="(%4)、"/>
      <w:lvlJc w:val="left"/>
      <w:pPr>
        <w:tabs>
          <w:tab w:val="num" w:pos="1876"/>
        </w:tabs>
        <w:ind w:left="1965" w:hanging="87"/>
      </w:pPr>
      <w:rPr>
        <w:rFonts w:hint="eastAsia"/>
      </w:rPr>
    </w:lvl>
    <w:lvl w:ilvl="4" w:tplc="04090019" w:tentative="1">
      <w:start w:val="1"/>
      <w:numFmt w:val="ideographTraditional"/>
      <w:lvlText w:val="%5、"/>
      <w:lvlJc w:val="left"/>
      <w:pPr>
        <w:tabs>
          <w:tab w:val="num" w:pos="2838"/>
        </w:tabs>
        <w:ind w:left="2838" w:hanging="480"/>
      </w:pPr>
    </w:lvl>
    <w:lvl w:ilvl="5" w:tplc="0409001B" w:tentative="1">
      <w:start w:val="1"/>
      <w:numFmt w:val="lowerRoman"/>
      <w:lvlText w:val="%6."/>
      <w:lvlJc w:val="right"/>
      <w:pPr>
        <w:tabs>
          <w:tab w:val="num" w:pos="3318"/>
        </w:tabs>
        <w:ind w:left="3318" w:hanging="480"/>
      </w:pPr>
    </w:lvl>
    <w:lvl w:ilvl="6" w:tplc="0409000F" w:tentative="1">
      <w:start w:val="1"/>
      <w:numFmt w:val="decimal"/>
      <w:lvlText w:val="%7."/>
      <w:lvlJc w:val="left"/>
      <w:pPr>
        <w:tabs>
          <w:tab w:val="num" w:pos="3798"/>
        </w:tabs>
        <w:ind w:left="3798" w:hanging="480"/>
      </w:pPr>
    </w:lvl>
    <w:lvl w:ilvl="7" w:tplc="04090019" w:tentative="1">
      <w:start w:val="1"/>
      <w:numFmt w:val="ideographTraditional"/>
      <w:lvlText w:val="%8、"/>
      <w:lvlJc w:val="left"/>
      <w:pPr>
        <w:tabs>
          <w:tab w:val="num" w:pos="4278"/>
        </w:tabs>
        <w:ind w:left="4278" w:hanging="480"/>
      </w:pPr>
    </w:lvl>
    <w:lvl w:ilvl="8" w:tplc="0409001B" w:tentative="1">
      <w:start w:val="1"/>
      <w:numFmt w:val="lowerRoman"/>
      <w:lvlText w:val="%9."/>
      <w:lvlJc w:val="right"/>
      <w:pPr>
        <w:tabs>
          <w:tab w:val="num" w:pos="4758"/>
        </w:tabs>
        <w:ind w:left="4758" w:hanging="480"/>
      </w:pPr>
    </w:lvl>
  </w:abstractNum>
  <w:abstractNum w:abstractNumId="8" w15:restartNumberingAfterBreak="0">
    <w:nsid w:val="248B1112"/>
    <w:multiLevelType w:val="hybridMultilevel"/>
    <w:tmpl w:val="275AF7C0"/>
    <w:lvl w:ilvl="0" w:tplc="71067CC6">
      <w:start w:val="1"/>
      <w:numFmt w:val="decimal"/>
      <w:lvlText w:val="(%1)"/>
      <w:lvlJc w:val="left"/>
      <w:pPr>
        <w:tabs>
          <w:tab w:val="num" w:pos="435"/>
        </w:tabs>
        <w:ind w:left="435" w:hanging="43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104141"/>
    <w:multiLevelType w:val="hybridMultilevel"/>
    <w:tmpl w:val="5CCC94DC"/>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2A40E2"/>
    <w:multiLevelType w:val="hybridMultilevel"/>
    <w:tmpl w:val="E1C6F222"/>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E57E61"/>
    <w:multiLevelType w:val="hybridMultilevel"/>
    <w:tmpl w:val="26222824"/>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F562C3"/>
    <w:multiLevelType w:val="hybridMultilevel"/>
    <w:tmpl w:val="58E49CF6"/>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6920B2"/>
    <w:multiLevelType w:val="hybridMultilevel"/>
    <w:tmpl w:val="15EA1DAC"/>
    <w:lvl w:ilvl="0" w:tplc="66402F04">
      <w:start w:val="1"/>
      <w:numFmt w:val="decimal"/>
      <w:lvlText w:val="(%1)"/>
      <w:lvlJc w:val="left"/>
      <w:pPr>
        <w:tabs>
          <w:tab w:val="num" w:pos="427"/>
        </w:tabs>
        <w:ind w:left="427" w:hanging="420"/>
      </w:pPr>
      <w:rPr>
        <w:rFonts w:ascii="Times New Roman" w:hAnsi="Times New Roman"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4" w15:restartNumberingAfterBreak="0">
    <w:nsid w:val="311F2264"/>
    <w:multiLevelType w:val="hybridMultilevel"/>
    <w:tmpl w:val="32926552"/>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6A4CE7"/>
    <w:multiLevelType w:val="hybridMultilevel"/>
    <w:tmpl w:val="6194021A"/>
    <w:lvl w:ilvl="0" w:tplc="1FF66F7C">
      <w:start w:val="1"/>
      <w:numFmt w:val="decimal"/>
      <w:lvlText w:val="(%1)"/>
      <w:lvlJc w:val="left"/>
      <w:pPr>
        <w:tabs>
          <w:tab w:val="num" w:pos="360"/>
        </w:tabs>
        <w:ind w:left="360" w:hanging="360"/>
      </w:pPr>
      <w:rPr>
        <w:rFonts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DF23DF1"/>
    <w:multiLevelType w:val="hybridMultilevel"/>
    <w:tmpl w:val="9E1C4A40"/>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1510C2E"/>
    <w:multiLevelType w:val="hybridMultilevel"/>
    <w:tmpl w:val="42C87154"/>
    <w:lvl w:ilvl="0" w:tplc="729AE860">
      <w:start w:val="1"/>
      <w:numFmt w:val="taiwaneseCountingThousand"/>
      <w:lvlText w:val="(%1)"/>
      <w:lvlJc w:val="left"/>
      <w:pPr>
        <w:ind w:left="1576" w:hanging="58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42AA3796"/>
    <w:multiLevelType w:val="hybridMultilevel"/>
    <w:tmpl w:val="8C9E04D4"/>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475A6"/>
    <w:multiLevelType w:val="hybridMultilevel"/>
    <w:tmpl w:val="4BCA0324"/>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0D54F9"/>
    <w:multiLevelType w:val="hybridMultilevel"/>
    <w:tmpl w:val="3BCC5DA6"/>
    <w:lvl w:ilvl="0" w:tplc="33DC0B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37299D"/>
    <w:multiLevelType w:val="hybridMultilevel"/>
    <w:tmpl w:val="4E2ECB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CB5AF8"/>
    <w:multiLevelType w:val="hybridMultilevel"/>
    <w:tmpl w:val="83802E38"/>
    <w:lvl w:ilvl="0" w:tplc="149E5A60">
      <w:start w:val="1"/>
      <w:numFmt w:val="decimal"/>
      <w:lvlText w:val="(%1)"/>
      <w:lvlJc w:val="left"/>
      <w:pPr>
        <w:tabs>
          <w:tab w:val="num" w:pos="435"/>
        </w:tabs>
        <w:ind w:left="435" w:hanging="435"/>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9922EDD"/>
    <w:multiLevelType w:val="hybridMultilevel"/>
    <w:tmpl w:val="0026FCBE"/>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B2D39D5"/>
    <w:multiLevelType w:val="hybridMultilevel"/>
    <w:tmpl w:val="5B2AF3FC"/>
    <w:lvl w:ilvl="0" w:tplc="D7AA30C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C8A1044"/>
    <w:multiLevelType w:val="hybridMultilevel"/>
    <w:tmpl w:val="4C5A899A"/>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ED45834"/>
    <w:multiLevelType w:val="hybridMultilevel"/>
    <w:tmpl w:val="F13C2F56"/>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2D4835"/>
    <w:multiLevelType w:val="hybridMultilevel"/>
    <w:tmpl w:val="B300B244"/>
    <w:lvl w:ilvl="0" w:tplc="762CD6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1CF2D09"/>
    <w:multiLevelType w:val="hybridMultilevel"/>
    <w:tmpl w:val="3C641E58"/>
    <w:lvl w:ilvl="0" w:tplc="84FAF810">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63D32ED"/>
    <w:multiLevelType w:val="hybridMultilevel"/>
    <w:tmpl w:val="F5C29384"/>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A3C0552"/>
    <w:multiLevelType w:val="hybridMultilevel"/>
    <w:tmpl w:val="06261A04"/>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B1A4047"/>
    <w:multiLevelType w:val="hybridMultilevel"/>
    <w:tmpl w:val="CCE883FC"/>
    <w:lvl w:ilvl="0" w:tplc="81A40E60">
      <w:start w:val="1"/>
      <w:numFmt w:val="taiwaneseCountingThousand"/>
      <w:lvlText w:val="(%1)"/>
      <w:lvlJc w:val="left"/>
      <w:pPr>
        <w:ind w:left="1578" w:hanging="58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15:restartNumberingAfterBreak="0">
    <w:nsid w:val="5E2F042B"/>
    <w:multiLevelType w:val="hybridMultilevel"/>
    <w:tmpl w:val="0C602F44"/>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41078D"/>
    <w:multiLevelType w:val="hybridMultilevel"/>
    <w:tmpl w:val="0E505C8E"/>
    <w:lvl w:ilvl="0" w:tplc="33DC0B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F6A1661"/>
    <w:multiLevelType w:val="hybridMultilevel"/>
    <w:tmpl w:val="BA2A883A"/>
    <w:lvl w:ilvl="0" w:tplc="846A3CA6">
      <w:start w:val="1"/>
      <w:numFmt w:val="taiwaneseCountingThousand"/>
      <w:lvlText w:val="（%1）"/>
      <w:lvlJc w:val="left"/>
      <w:pPr>
        <w:tabs>
          <w:tab w:val="num" w:pos="1695"/>
        </w:tabs>
        <w:ind w:left="1695" w:hanging="855"/>
      </w:pPr>
      <w:rPr>
        <w:rFonts w:hint="eastAsia"/>
        <w:strike w:val="0"/>
        <w:lang w:val="en-US"/>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15:restartNumberingAfterBreak="0">
    <w:nsid w:val="7035777F"/>
    <w:multiLevelType w:val="hybridMultilevel"/>
    <w:tmpl w:val="3B1044EC"/>
    <w:lvl w:ilvl="0" w:tplc="71067CC6">
      <w:start w:val="1"/>
      <w:numFmt w:val="decimal"/>
      <w:lvlText w:val="(%1)"/>
      <w:lvlJc w:val="left"/>
      <w:pPr>
        <w:tabs>
          <w:tab w:val="num" w:pos="435"/>
        </w:tabs>
        <w:ind w:left="435" w:hanging="43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D13EFF"/>
    <w:multiLevelType w:val="hybridMultilevel"/>
    <w:tmpl w:val="0D62B61C"/>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0D62160"/>
    <w:multiLevelType w:val="hybridMultilevel"/>
    <w:tmpl w:val="354628D4"/>
    <w:lvl w:ilvl="0" w:tplc="762CD68E">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1C905A7"/>
    <w:multiLevelType w:val="hybridMultilevel"/>
    <w:tmpl w:val="0528172C"/>
    <w:lvl w:ilvl="0" w:tplc="33DC0B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7654A4"/>
    <w:multiLevelType w:val="hybridMultilevel"/>
    <w:tmpl w:val="19EAAECC"/>
    <w:lvl w:ilvl="0" w:tplc="BE3ED168">
      <w:start w:val="1"/>
      <w:numFmt w:val="decimal"/>
      <w:lvlText w:val="(%1)"/>
      <w:lvlJc w:val="left"/>
      <w:pPr>
        <w:ind w:left="2026" w:hanging="450"/>
      </w:pPr>
      <w:rPr>
        <w:rFonts w:hint="default"/>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40" w15:restartNumberingAfterBreak="0">
    <w:nsid w:val="7B943E1C"/>
    <w:multiLevelType w:val="hybridMultilevel"/>
    <w:tmpl w:val="D9CE43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482BF9"/>
    <w:multiLevelType w:val="hybridMultilevel"/>
    <w:tmpl w:val="3F8C333A"/>
    <w:lvl w:ilvl="0" w:tplc="66402F04">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73200A"/>
    <w:multiLevelType w:val="hybridMultilevel"/>
    <w:tmpl w:val="A60A510A"/>
    <w:lvl w:ilvl="0" w:tplc="731EC802">
      <w:start w:val="1"/>
      <w:numFmt w:val="decimal"/>
      <w:lvlText w:val="(%1)"/>
      <w:lvlJc w:val="left"/>
      <w:pPr>
        <w:tabs>
          <w:tab w:val="num" w:pos="420"/>
        </w:tabs>
        <w:ind w:left="420" w:hanging="4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FCA38CA"/>
    <w:multiLevelType w:val="hybridMultilevel"/>
    <w:tmpl w:val="5362359C"/>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1362047C">
      <w:start w:val="1"/>
      <w:numFmt w:val="decimal"/>
      <w:lvlText w:val="%3."/>
      <w:lvlJc w:val="left"/>
      <w:pPr>
        <w:tabs>
          <w:tab w:val="num" w:pos="1320"/>
        </w:tabs>
        <w:ind w:left="1320" w:hanging="360"/>
      </w:pPr>
      <w:rPr>
        <w:rFonts w:hint="default"/>
      </w:rPr>
    </w:lvl>
    <w:lvl w:ilvl="3" w:tplc="D708F3F0">
      <w:start w:val="1"/>
      <w:numFmt w:val="taiwaneseCountingThousand"/>
      <w:lvlText w:val="（%4）"/>
      <w:lvlJc w:val="left"/>
      <w:pPr>
        <w:tabs>
          <w:tab w:val="num" w:pos="2160"/>
        </w:tabs>
        <w:ind w:left="2160" w:hanging="720"/>
      </w:pPr>
      <w:rPr>
        <w:rFonts w:hint="default"/>
        <w:color w:val="000000"/>
      </w:rPr>
    </w:lvl>
    <w:lvl w:ilvl="4" w:tplc="2DB261A0">
      <w:start w:val="1"/>
      <w:numFmt w:val="decimal"/>
      <w:lvlText w:val="(%5)"/>
      <w:lvlJc w:val="left"/>
      <w:pPr>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D61750"/>
    <w:multiLevelType w:val="hybridMultilevel"/>
    <w:tmpl w:val="32EA88CE"/>
    <w:lvl w:ilvl="0" w:tplc="33DC0B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28"/>
  </w:num>
  <w:num w:numId="3">
    <w:abstractNumId w:val="6"/>
  </w:num>
  <w:num w:numId="4">
    <w:abstractNumId w:val="36"/>
  </w:num>
  <w:num w:numId="5">
    <w:abstractNumId w:val="22"/>
  </w:num>
  <w:num w:numId="6">
    <w:abstractNumId w:val="24"/>
  </w:num>
  <w:num w:numId="7">
    <w:abstractNumId w:val="27"/>
  </w:num>
  <w:num w:numId="8">
    <w:abstractNumId w:val="11"/>
  </w:num>
  <w:num w:numId="9">
    <w:abstractNumId w:val="9"/>
  </w:num>
  <w:num w:numId="10">
    <w:abstractNumId w:val="16"/>
  </w:num>
  <w:num w:numId="11">
    <w:abstractNumId w:val="29"/>
  </w:num>
  <w:num w:numId="12">
    <w:abstractNumId w:val="25"/>
  </w:num>
  <w:num w:numId="13">
    <w:abstractNumId w:val="14"/>
  </w:num>
  <w:num w:numId="14">
    <w:abstractNumId w:val="23"/>
  </w:num>
  <w:num w:numId="15">
    <w:abstractNumId w:val="19"/>
  </w:num>
  <w:num w:numId="16">
    <w:abstractNumId w:val="37"/>
  </w:num>
  <w:num w:numId="17">
    <w:abstractNumId w:val="3"/>
  </w:num>
  <w:num w:numId="18">
    <w:abstractNumId w:val="1"/>
  </w:num>
  <w:num w:numId="19">
    <w:abstractNumId w:val="0"/>
  </w:num>
  <w:num w:numId="20">
    <w:abstractNumId w:val="44"/>
  </w:num>
  <w:num w:numId="21">
    <w:abstractNumId w:val="33"/>
  </w:num>
  <w:num w:numId="22">
    <w:abstractNumId w:val="8"/>
  </w:num>
  <w:num w:numId="23">
    <w:abstractNumId w:val="35"/>
  </w:num>
  <w:num w:numId="24">
    <w:abstractNumId w:val="2"/>
  </w:num>
  <w:num w:numId="25">
    <w:abstractNumId w:val="26"/>
  </w:num>
  <w:num w:numId="26">
    <w:abstractNumId w:val="5"/>
  </w:num>
  <w:num w:numId="27">
    <w:abstractNumId w:val="32"/>
  </w:num>
  <w:num w:numId="28">
    <w:abstractNumId w:val="10"/>
  </w:num>
  <w:num w:numId="29">
    <w:abstractNumId w:val="18"/>
  </w:num>
  <w:num w:numId="30">
    <w:abstractNumId w:val="41"/>
  </w:num>
  <w:num w:numId="31">
    <w:abstractNumId w:val="13"/>
  </w:num>
  <w:num w:numId="32">
    <w:abstractNumId w:val="12"/>
  </w:num>
  <w:num w:numId="33">
    <w:abstractNumId w:val="30"/>
  </w:num>
  <w:num w:numId="34">
    <w:abstractNumId w:val="21"/>
  </w:num>
  <w:num w:numId="35">
    <w:abstractNumId w:val="20"/>
  </w:num>
  <w:num w:numId="36">
    <w:abstractNumId w:val="40"/>
  </w:num>
  <w:num w:numId="37">
    <w:abstractNumId w:val="38"/>
  </w:num>
  <w:num w:numId="38">
    <w:abstractNumId w:val="34"/>
  </w:num>
  <w:num w:numId="39">
    <w:abstractNumId w:val="43"/>
  </w:num>
  <w:num w:numId="40">
    <w:abstractNumId w:val="7"/>
  </w:num>
  <w:num w:numId="41">
    <w:abstractNumId w:val="15"/>
  </w:num>
  <w:num w:numId="42">
    <w:abstractNumId w:val="17"/>
  </w:num>
  <w:num w:numId="43">
    <w:abstractNumId w:val="4"/>
  </w:num>
  <w:num w:numId="44">
    <w:abstractNumId w:val="39"/>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771A"/>
    <w:rsid w:val="00013E3D"/>
    <w:rsid w:val="00015FFA"/>
    <w:rsid w:val="0001771E"/>
    <w:rsid w:val="0003533D"/>
    <w:rsid w:val="00051580"/>
    <w:rsid w:val="00056B0A"/>
    <w:rsid w:val="00063D02"/>
    <w:rsid w:val="00091A29"/>
    <w:rsid w:val="000A4534"/>
    <w:rsid w:val="000F3FAD"/>
    <w:rsid w:val="001965FA"/>
    <w:rsid w:val="001A1BB7"/>
    <w:rsid w:val="001B4B16"/>
    <w:rsid w:val="001D4457"/>
    <w:rsid w:val="001F0A9C"/>
    <w:rsid w:val="00240FAB"/>
    <w:rsid w:val="00255A48"/>
    <w:rsid w:val="00271114"/>
    <w:rsid w:val="00271E03"/>
    <w:rsid w:val="00276CFC"/>
    <w:rsid w:val="0028097F"/>
    <w:rsid w:val="002864CD"/>
    <w:rsid w:val="002875D6"/>
    <w:rsid w:val="0029771A"/>
    <w:rsid w:val="002A5914"/>
    <w:rsid w:val="002A7EDF"/>
    <w:rsid w:val="002C01EB"/>
    <w:rsid w:val="002C6366"/>
    <w:rsid w:val="002C7781"/>
    <w:rsid w:val="002F7E00"/>
    <w:rsid w:val="003172F5"/>
    <w:rsid w:val="003212AA"/>
    <w:rsid w:val="00334A36"/>
    <w:rsid w:val="003548AA"/>
    <w:rsid w:val="00362B0B"/>
    <w:rsid w:val="003744C0"/>
    <w:rsid w:val="003836F0"/>
    <w:rsid w:val="003A2F4D"/>
    <w:rsid w:val="003B2CEC"/>
    <w:rsid w:val="003D19B2"/>
    <w:rsid w:val="003D1FD8"/>
    <w:rsid w:val="004044E3"/>
    <w:rsid w:val="00411714"/>
    <w:rsid w:val="00457CB2"/>
    <w:rsid w:val="004620C8"/>
    <w:rsid w:val="00472001"/>
    <w:rsid w:val="004C6ADD"/>
    <w:rsid w:val="004D3399"/>
    <w:rsid w:val="004D6CA9"/>
    <w:rsid w:val="004F609F"/>
    <w:rsid w:val="00532EFC"/>
    <w:rsid w:val="005751B2"/>
    <w:rsid w:val="00587687"/>
    <w:rsid w:val="005A1F07"/>
    <w:rsid w:val="005B3ED5"/>
    <w:rsid w:val="005D2C50"/>
    <w:rsid w:val="005F46C7"/>
    <w:rsid w:val="006033C4"/>
    <w:rsid w:val="00605994"/>
    <w:rsid w:val="006121ED"/>
    <w:rsid w:val="00620BB7"/>
    <w:rsid w:val="00620F5D"/>
    <w:rsid w:val="00634056"/>
    <w:rsid w:val="00652F4B"/>
    <w:rsid w:val="00653ADE"/>
    <w:rsid w:val="00660237"/>
    <w:rsid w:val="006870D1"/>
    <w:rsid w:val="006A1222"/>
    <w:rsid w:val="006E6506"/>
    <w:rsid w:val="006F5F37"/>
    <w:rsid w:val="0073096F"/>
    <w:rsid w:val="00737D74"/>
    <w:rsid w:val="007733FB"/>
    <w:rsid w:val="007B0B5F"/>
    <w:rsid w:val="007D1630"/>
    <w:rsid w:val="007D6747"/>
    <w:rsid w:val="008001CF"/>
    <w:rsid w:val="008279FC"/>
    <w:rsid w:val="008643EA"/>
    <w:rsid w:val="008645B2"/>
    <w:rsid w:val="00865BB6"/>
    <w:rsid w:val="00896188"/>
    <w:rsid w:val="008A2B78"/>
    <w:rsid w:val="008F1FCF"/>
    <w:rsid w:val="00930CC5"/>
    <w:rsid w:val="00932535"/>
    <w:rsid w:val="009B3CEF"/>
    <w:rsid w:val="009E0199"/>
    <w:rsid w:val="009E56D7"/>
    <w:rsid w:val="009F4655"/>
    <w:rsid w:val="00A05D5F"/>
    <w:rsid w:val="00AB5BA1"/>
    <w:rsid w:val="00AC3B6A"/>
    <w:rsid w:val="00AF61D9"/>
    <w:rsid w:val="00AF7AF6"/>
    <w:rsid w:val="00B06E1D"/>
    <w:rsid w:val="00B40791"/>
    <w:rsid w:val="00B4272D"/>
    <w:rsid w:val="00B5028B"/>
    <w:rsid w:val="00B759AD"/>
    <w:rsid w:val="00B95E44"/>
    <w:rsid w:val="00BD3AE1"/>
    <w:rsid w:val="00BD7E27"/>
    <w:rsid w:val="00BF625B"/>
    <w:rsid w:val="00C02A3C"/>
    <w:rsid w:val="00C427C5"/>
    <w:rsid w:val="00C4505E"/>
    <w:rsid w:val="00C755D7"/>
    <w:rsid w:val="00C85D99"/>
    <w:rsid w:val="00C86FAC"/>
    <w:rsid w:val="00CD3B57"/>
    <w:rsid w:val="00CE57BA"/>
    <w:rsid w:val="00D01D82"/>
    <w:rsid w:val="00D06969"/>
    <w:rsid w:val="00D227D3"/>
    <w:rsid w:val="00D534C0"/>
    <w:rsid w:val="00D55B75"/>
    <w:rsid w:val="00D66AE5"/>
    <w:rsid w:val="00D755FB"/>
    <w:rsid w:val="00D9089F"/>
    <w:rsid w:val="00D9703D"/>
    <w:rsid w:val="00E024A9"/>
    <w:rsid w:val="00E06BF3"/>
    <w:rsid w:val="00E43A07"/>
    <w:rsid w:val="00E55926"/>
    <w:rsid w:val="00E65175"/>
    <w:rsid w:val="00E67B53"/>
    <w:rsid w:val="00E75F95"/>
    <w:rsid w:val="00E802BC"/>
    <w:rsid w:val="00E8323E"/>
    <w:rsid w:val="00EB74D1"/>
    <w:rsid w:val="00EF77D2"/>
    <w:rsid w:val="00F049F9"/>
    <w:rsid w:val="00F1624A"/>
    <w:rsid w:val="00F447B8"/>
    <w:rsid w:val="00F521B1"/>
    <w:rsid w:val="00F77494"/>
    <w:rsid w:val="00F9213D"/>
    <w:rsid w:val="00FC0C38"/>
    <w:rsid w:val="00FC5234"/>
    <w:rsid w:val="00FD10BB"/>
    <w:rsid w:val="00FE6B74"/>
    <w:rsid w:val="00FF1A0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AFCD4F-F7F8-4D6F-957A-743D8F2D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50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9771A"/>
    <w:pPr>
      <w:snapToGrid w:val="0"/>
    </w:pPr>
    <w:rPr>
      <w:rFonts w:ascii="Times New Roman" w:eastAsia="新細明體" w:hAnsi="Times New Roman" w:cs="Times New Roman"/>
      <w:sz w:val="20"/>
      <w:szCs w:val="20"/>
    </w:rPr>
  </w:style>
  <w:style w:type="character" w:customStyle="1" w:styleId="a4">
    <w:name w:val="註腳文字 字元"/>
    <w:basedOn w:val="a0"/>
    <w:link w:val="a3"/>
    <w:semiHidden/>
    <w:rsid w:val="0029771A"/>
    <w:rPr>
      <w:rFonts w:ascii="Times New Roman" w:eastAsia="新細明體" w:hAnsi="Times New Roman" w:cs="Times New Roman"/>
      <w:sz w:val="20"/>
      <w:szCs w:val="20"/>
    </w:rPr>
  </w:style>
  <w:style w:type="character" w:styleId="a5">
    <w:name w:val="footnote reference"/>
    <w:basedOn w:val="a0"/>
    <w:semiHidden/>
    <w:rsid w:val="0029771A"/>
    <w:rPr>
      <w:vertAlign w:val="superscript"/>
    </w:rPr>
  </w:style>
  <w:style w:type="paragraph" w:styleId="a6">
    <w:name w:val="header"/>
    <w:basedOn w:val="a"/>
    <w:link w:val="a7"/>
    <w:uiPriority w:val="99"/>
    <w:unhideWhenUsed/>
    <w:rsid w:val="00091A29"/>
    <w:pPr>
      <w:tabs>
        <w:tab w:val="center" w:pos="4153"/>
        <w:tab w:val="right" w:pos="8306"/>
      </w:tabs>
      <w:snapToGrid w:val="0"/>
    </w:pPr>
    <w:rPr>
      <w:sz w:val="20"/>
      <w:szCs w:val="20"/>
    </w:rPr>
  </w:style>
  <w:style w:type="character" w:customStyle="1" w:styleId="a7">
    <w:name w:val="頁首 字元"/>
    <w:basedOn w:val="a0"/>
    <w:link w:val="a6"/>
    <w:uiPriority w:val="99"/>
    <w:rsid w:val="00091A29"/>
    <w:rPr>
      <w:sz w:val="20"/>
      <w:szCs w:val="20"/>
    </w:rPr>
  </w:style>
  <w:style w:type="paragraph" w:styleId="a8">
    <w:name w:val="footer"/>
    <w:basedOn w:val="a"/>
    <w:link w:val="a9"/>
    <w:uiPriority w:val="99"/>
    <w:unhideWhenUsed/>
    <w:rsid w:val="00091A29"/>
    <w:pPr>
      <w:tabs>
        <w:tab w:val="center" w:pos="4153"/>
        <w:tab w:val="right" w:pos="8306"/>
      </w:tabs>
      <w:snapToGrid w:val="0"/>
    </w:pPr>
    <w:rPr>
      <w:sz w:val="20"/>
      <w:szCs w:val="20"/>
    </w:rPr>
  </w:style>
  <w:style w:type="character" w:customStyle="1" w:styleId="a9">
    <w:name w:val="頁尾 字元"/>
    <w:basedOn w:val="a0"/>
    <w:link w:val="a8"/>
    <w:uiPriority w:val="99"/>
    <w:rsid w:val="00091A29"/>
    <w:rPr>
      <w:sz w:val="20"/>
      <w:szCs w:val="20"/>
    </w:rPr>
  </w:style>
  <w:style w:type="paragraph" w:styleId="aa">
    <w:name w:val="List Paragraph"/>
    <w:basedOn w:val="a"/>
    <w:uiPriority w:val="34"/>
    <w:qFormat/>
    <w:rsid w:val="00C02A3C"/>
    <w:pPr>
      <w:ind w:leftChars="200" w:left="480"/>
    </w:pPr>
  </w:style>
  <w:style w:type="paragraph" w:styleId="ab">
    <w:name w:val="Balloon Text"/>
    <w:basedOn w:val="a"/>
    <w:link w:val="ac"/>
    <w:uiPriority w:val="99"/>
    <w:semiHidden/>
    <w:unhideWhenUsed/>
    <w:rsid w:val="0047200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7200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96188"/>
    <w:rPr>
      <w:sz w:val="18"/>
      <w:szCs w:val="18"/>
    </w:rPr>
  </w:style>
  <w:style w:type="paragraph" w:styleId="ae">
    <w:name w:val="annotation text"/>
    <w:basedOn w:val="a"/>
    <w:link w:val="af"/>
    <w:uiPriority w:val="99"/>
    <w:semiHidden/>
    <w:unhideWhenUsed/>
    <w:rsid w:val="00896188"/>
  </w:style>
  <w:style w:type="character" w:customStyle="1" w:styleId="af">
    <w:name w:val="註解文字 字元"/>
    <w:basedOn w:val="a0"/>
    <w:link w:val="ae"/>
    <w:uiPriority w:val="99"/>
    <w:semiHidden/>
    <w:rsid w:val="00896188"/>
  </w:style>
  <w:style w:type="paragraph" w:styleId="af0">
    <w:name w:val="annotation subject"/>
    <w:basedOn w:val="ae"/>
    <w:next w:val="ae"/>
    <w:link w:val="af1"/>
    <w:uiPriority w:val="99"/>
    <w:semiHidden/>
    <w:unhideWhenUsed/>
    <w:rsid w:val="00896188"/>
    <w:rPr>
      <w:b/>
      <w:bCs/>
    </w:rPr>
  </w:style>
  <w:style w:type="character" w:customStyle="1" w:styleId="af1">
    <w:name w:val="註解主旨 字元"/>
    <w:basedOn w:val="af"/>
    <w:link w:val="af0"/>
    <w:uiPriority w:val="99"/>
    <w:semiHidden/>
    <w:rsid w:val="00896188"/>
    <w:rPr>
      <w:b/>
      <w:bCs/>
    </w:rPr>
  </w:style>
  <w:style w:type="character" w:styleId="af2">
    <w:name w:val="page number"/>
    <w:basedOn w:val="a0"/>
    <w:rsid w:val="003A2F4D"/>
  </w:style>
  <w:style w:type="paragraph" w:styleId="af3">
    <w:name w:val="Plain Text"/>
    <w:basedOn w:val="a"/>
    <w:link w:val="af4"/>
    <w:rsid w:val="003A2F4D"/>
    <w:rPr>
      <w:rFonts w:ascii="細明體" w:eastAsia="細明體" w:hAnsi="Courier New" w:cs="Times New Roman"/>
      <w:sz w:val="28"/>
      <w:szCs w:val="20"/>
    </w:rPr>
  </w:style>
  <w:style w:type="character" w:customStyle="1" w:styleId="af4">
    <w:name w:val="純文字 字元"/>
    <w:basedOn w:val="a0"/>
    <w:link w:val="af3"/>
    <w:rsid w:val="003A2F4D"/>
    <w:rPr>
      <w:rFonts w:ascii="細明體" w:eastAsia="細明體"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A1DF-B48A-4FC0-AA31-370E84AA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Wang</dc:creator>
  <cp:lastModifiedBy>陳慶立</cp:lastModifiedBy>
  <cp:revision>7</cp:revision>
  <cp:lastPrinted>2014-04-29T07:49:00Z</cp:lastPrinted>
  <dcterms:created xsi:type="dcterms:W3CDTF">2017-05-16T07:27:00Z</dcterms:created>
  <dcterms:modified xsi:type="dcterms:W3CDTF">2017-05-17T03:29:00Z</dcterms:modified>
</cp:coreProperties>
</file>