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2F" w:rsidRPr="00FA1FA1" w:rsidRDefault="00D22536" w:rsidP="00475B2F">
      <w:pPr>
        <w:widowControl/>
        <w:spacing w:line="440" w:lineRule="atLeast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bookmarkStart w:id="0" w:name="_GoBack"/>
      <w:bookmarkEnd w:id="0"/>
      <w:r w:rsidRPr="00D22536">
        <w:rPr>
          <w:rFonts w:ascii="標楷體" w:eastAsia="標楷體" w:hAnsi="標楷體" w:hint="eastAsia"/>
          <w:b/>
          <w:color w:val="000000"/>
          <w:sz w:val="36"/>
          <w:szCs w:val="28"/>
        </w:rPr>
        <w:t>片庫儲存設備NAS25T2台</w:t>
      </w:r>
      <w:r w:rsidR="00475B2F" w:rsidRPr="00FA1FA1">
        <w:rPr>
          <w:rFonts w:ascii="標楷體" w:eastAsia="標楷體" w:hAnsi="標楷體" w:hint="eastAsia"/>
          <w:b/>
          <w:color w:val="000000"/>
          <w:sz w:val="36"/>
          <w:szCs w:val="28"/>
        </w:rPr>
        <w:t>規格需求</w:t>
      </w:r>
    </w:p>
    <w:p w:rsidR="007A280F" w:rsidRPr="00FA1FA1" w:rsidRDefault="002C2D31" w:rsidP="00FB36C2">
      <w:pPr>
        <w:tabs>
          <w:tab w:val="left" w:pos="840"/>
          <w:tab w:val="num" w:pos="1710"/>
        </w:tabs>
        <w:ind w:leftChars="5" w:left="132" w:hangingChars="50" w:hanging="120"/>
        <w:rPr>
          <w:rFonts w:ascii="標楷體" w:eastAsia="標楷體" w:hAnsi="標楷體"/>
          <w:b/>
          <w:color w:val="000000"/>
        </w:rPr>
      </w:pPr>
      <w:r w:rsidRPr="00FA1FA1">
        <w:rPr>
          <w:rFonts w:ascii="標楷體" w:eastAsia="標楷體" w:hAnsi="標楷體" w:hint="eastAsia"/>
          <w:b/>
          <w:color w:val="000000"/>
        </w:rPr>
        <w:t xml:space="preserve">    </w:t>
      </w:r>
    </w:p>
    <w:p w:rsidR="003F742E" w:rsidRPr="00FA1FA1" w:rsidRDefault="003F742E" w:rsidP="003F742E">
      <w:pPr>
        <w:tabs>
          <w:tab w:val="left" w:pos="840"/>
          <w:tab w:val="num" w:pos="1710"/>
        </w:tabs>
        <w:spacing w:line="0" w:lineRule="atLeast"/>
        <w:ind w:firstLineChars="4" w:firstLine="11"/>
        <w:rPr>
          <w:rFonts w:ascii="標楷體" w:eastAsia="標楷體" w:hAnsi="標楷體"/>
          <w:b/>
          <w:color w:val="000000"/>
          <w:sz w:val="28"/>
        </w:rPr>
      </w:pPr>
      <w:r w:rsidRPr="00FA1FA1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 w:rsidR="00475B2F" w:rsidRPr="00FA1FA1">
        <w:rPr>
          <w:rFonts w:ascii="標楷體" w:eastAsia="標楷體" w:hAnsi="標楷體" w:hint="eastAsia"/>
          <w:b/>
          <w:color w:val="000000"/>
          <w:sz w:val="28"/>
        </w:rPr>
        <w:t>本案需提供</w:t>
      </w:r>
      <w:r w:rsidR="002C2D31" w:rsidRPr="00FA1FA1">
        <w:rPr>
          <w:rFonts w:ascii="標楷體" w:eastAsia="標楷體" w:hAnsi="標楷體" w:hint="eastAsia"/>
          <w:b/>
          <w:color w:val="000000"/>
          <w:sz w:val="28"/>
        </w:rPr>
        <w:t>機架式</w:t>
      </w:r>
      <w:r w:rsidR="00475B2F" w:rsidRPr="00FA1FA1">
        <w:rPr>
          <w:rFonts w:ascii="標楷體" w:eastAsia="標楷體" w:hAnsi="標楷體" w:hint="eastAsia"/>
          <w:b/>
          <w:color w:val="000000"/>
          <w:sz w:val="28"/>
        </w:rPr>
        <w:t xml:space="preserve">NAS </w:t>
      </w:r>
      <w:r w:rsidR="007A280F" w:rsidRPr="00FA1FA1">
        <w:rPr>
          <w:rFonts w:ascii="標楷體" w:eastAsia="標楷體" w:hAnsi="標楷體" w:hint="eastAsia"/>
          <w:b/>
          <w:color w:val="000000"/>
          <w:sz w:val="28"/>
        </w:rPr>
        <w:t>儲存系統</w:t>
      </w:r>
      <w:r w:rsidR="00F230F4" w:rsidRPr="00FA1FA1">
        <w:rPr>
          <w:rFonts w:ascii="標楷體" w:eastAsia="標楷體" w:hAnsi="標楷體" w:hint="eastAsia"/>
          <w:b/>
          <w:color w:val="000000"/>
          <w:sz w:val="28"/>
        </w:rPr>
        <w:t>，容量25</w:t>
      </w:r>
      <w:r w:rsidRPr="00FA1FA1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F230F4" w:rsidRPr="00FA1FA1">
        <w:rPr>
          <w:rFonts w:ascii="標楷體" w:eastAsia="標楷體" w:hAnsi="標楷體" w:hint="eastAsia"/>
          <w:b/>
          <w:color w:val="000000"/>
          <w:sz w:val="28"/>
        </w:rPr>
        <w:t>TB，2台</w:t>
      </w:r>
      <w:r w:rsidRPr="00FA1FA1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2C2D31" w:rsidRPr="00FA1FA1" w:rsidRDefault="00465F17" w:rsidP="00FA1FA1">
      <w:pPr>
        <w:tabs>
          <w:tab w:val="left" w:pos="840"/>
          <w:tab w:val="num" w:pos="1710"/>
        </w:tabs>
        <w:spacing w:line="0" w:lineRule="atLeast"/>
        <w:ind w:firstLineChars="4" w:firstLine="11"/>
        <w:rPr>
          <w:rFonts w:ascii="標楷體" w:eastAsia="標楷體" w:hAnsi="標楷體"/>
          <w:b/>
          <w:color w:val="000000"/>
        </w:rPr>
      </w:pPr>
      <w:r w:rsidRPr="00FA1FA1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</w:p>
    <w:p w:rsidR="00475B2F" w:rsidRPr="00FA1FA1" w:rsidRDefault="00475B2F" w:rsidP="00FB36C2">
      <w:pPr>
        <w:tabs>
          <w:tab w:val="left" w:pos="840"/>
          <w:tab w:val="num" w:pos="1710"/>
        </w:tabs>
        <w:ind w:leftChars="5" w:left="152" w:hangingChars="50" w:hanging="140"/>
        <w:rPr>
          <w:rFonts w:ascii="標楷體" w:eastAsia="標楷體" w:hAnsi="標楷體"/>
          <w:b/>
          <w:color w:val="000000"/>
          <w:sz w:val="28"/>
        </w:rPr>
      </w:pPr>
      <w:r w:rsidRPr="00FA1FA1">
        <w:rPr>
          <w:rFonts w:ascii="標楷體" w:eastAsia="標楷體" w:hAnsi="標楷體" w:hint="eastAsia"/>
          <w:b/>
          <w:color w:val="000000"/>
          <w:sz w:val="28"/>
        </w:rPr>
        <w:t>規格如下：</w:t>
      </w:r>
    </w:p>
    <w:p w:rsidR="002C2D31" w:rsidRPr="00FA1FA1" w:rsidRDefault="002C2D31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機架式，可安裝於19吋標準機架上(須提供上機架套件)。</w:t>
      </w:r>
    </w:p>
    <w:p w:rsidR="00CB7A26" w:rsidRPr="00FA1FA1" w:rsidRDefault="00475B2F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磁碟陣列系統</w:t>
      </w:r>
      <w:r w:rsidR="00CB7A26" w:rsidRPr="00FA1FA1">
        <w:rPr>
          <w:rFonts w:ascii="標楷體" w:eastAsia="標楷體" w:hAnsi="標楷體" w:cs="新細明體" w:hint="eastAsia"/>
          <w:color w:val="000000"/>
          <w:kern w:val="0"/>
        </w:rPr>
        <w:t>須有RAID 0、RAID 1、RAID 5</w:t>
      </w:r>
      <w:r w:rsidR="00A47DBF" w:rsidRPr="00FA1FA1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CB7A26" w:rsidRPr="00FA1FA1">
        <w:rPr>
          <w:rFonts w:ascii="標楷體" w:eastAsia="標楷體" w:hAnsi="標楷體" w:cs="新細明體" w:hint="eastAsia"/>
          <w:color w:val="000000"/>
          <w:kern w:val="0"/>
        </w:rPr>
        <w:t>RAID 6之磁碟陣列等級，以避免資料重建期間無資料保護之風險。</w:t>
      </w:r>
    </w:p>
    <w:p w:rsidR="00475B2F" w:rsidRPr="00FA1FA1" w:rsidRDefault="00475B2F" w:rsidP="00475B2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磁碟陣列系統為模組化設計，可依需求不停機線上增加磁碟機模組。</w:t>
      </w:r>
    </w:p>
    <w:p w:rsidR="00475B2F" w:rsidRPr="00FA1FA1" w:rsidRDefault="00475B2F" w:rsidP="00CB7A26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磁碟陣列系統需提供</w:t>
      </w:r>
      <w:r w:rsidR="00CB7A26" w:rsidRPr="0077573F">
        <w:rPr>
          <w:rFonts w:ascii="標楷體" w:eastAsia="標楷體" w:hAnsi="標楷體" w:cs="新細明體" w:hint="eastAsia"/>
          <w:color w:val="000000"/>
          <w:kern w:val="0"/>
        </w:rPr>
        <w:t>內建可讀寫快取記憶體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至少</w:t>
      </w:r>
      <w:r w:rsidR="002C2D31" w:rsidRPr="0077573F">
        <w:rPr>
          <w:rFonts w:ascii="標楷體" w:eastAsia="標楷體" w:hAnsi="標楷體" w:cs="新細明體" w:hint="eastAsia"/>
          <w:color w:val="000000"/>
          <w:kern w:val="0"/>
        </w:rPr>
        <w:t>32</w:t>
      </w:r>
      <w:r w:rsidR="002B265B" w:rsidRPr="0077573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GB(含)以上。</w:t>
      </w:r>
    </w:p>
    <w:p w:rsidR="00475B2F" w:rsidRPr="00FA1FA1" w:rsidRDefault="00475B2F" w:rsidP="00475B2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磁碟陣列系統需</w:t>
      </w:r>
      <w:r w:rsidR="00465F17" w:rsidRPr="00FA1FA1">
        <w:rPr>
          <w:rFonts w:ascii="標楷體" w:eastAsia="標楷體" w:hAnsi="標楷體" w:cs="新細明體" w:hint="eastAsia"/>
          <w:color w:val="000000"/>
          <w:kern w:val="0"/>
        </w:rPr>
        <w:t>提供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SSD</w:t>
      </w:r>
      <w:r w:rsidR="002B265B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(固態硬碟)或</w:t>
      </w:r>
      <w:r w:rsidR="002C2D31" w:rsidRPr="00FA1FA1">
        <w:rPr>
          <w:rFonts w:ascii="標楷體" w:eastAsia="標楷體" w:hAnsi="標楷體" w:cs="新細明體" w:hint="eastAsia"/>
          <w:color w:val="000000"/>
          <w:kern w:val="0"/>
        </w:rPr>
        <w:t>10000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轉(含)以上SAS</w:t>
      </w:r>
      <w:r w:rsidR="00465F17" w:rsidRPr="00FA1FA1">
        <w:rPr>
          <w:rFonts w:ascii="標楷體" w:eastAsia="標楷體" w:hAnsi="標楷體" w:cs="新細明體" w:hint="eastAsia"/>
          <w:color w:val="000000"/>
          <w:kern w:val="0"/>
        </w:rPr>
        <w:t>企業級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硬碟,且支援Global Hot Spare,以確保磁碟機故障時可維持正常運作。</w:t>
      </w:r>
    </w:p>
    <w:p w:rsidR="00475B2F" w:rsidRPr="00FA1FA1" w:rsidRDefault="007519EC" w:rsidP="002B265B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硬碟總容量</w:t>
      </w:r>
      <w:r w:rsidR="00475B2F" w:rsidRPr="00FA1FA1">
        <w:rPr>
          <w:rFonts w:ascii="標楷體" w:eastAsia="標楷體" w:hAnsi="標楷體" w:cs="新細明體" w:hint="eastAsia"/>
          <w:color w:val="000000"/>
          <w:kern w:val="0"/>
        </w:rPr>
        <w:t>需提供</w:t>
      </w:r>
      <w:r w:rsidR="002B265B" w:rsidRPr="00FA1FA1">
        <w:rPr>
          <w:rFonts w:ascii="標楷體" w:eastAsia="標楷體" w:hAnsi="標楷體" w:cs="新細明體" w:hint="eastAsia"/>
          <w:color w:val="000000"/>
          <w:kern w:val="0"/>
        </w:rPr>
        <w:t>以RAID 5組態後，</w:t>
      </w:r>
      <w:r w:rsidR="004F30B4" w:rsidRPr="00FA1FA1">
        <w:rPr>
          <w:rFonts w:ascii="標楷體" w:eastAsia="標楷體" w:hAnsi="標楷體" w:cs="新細明體" w:hint="eastAsia"/>
          <w:color w:val="000000"/>
          <w:kern w:val="0"/>
        </w:rPr>
        <w:t>可用容量</w:t>
      </w:r>
      <w:r w:rsidR="002C2D31" w:rsidRPr="00FA1FA1">
        <w:rPr>
          <w:rFonts w:ascii="標楷體" w:eastAsia="標楷體" w:hAnsi="標楷體" w:cs="新細明體" w:hint="eastAsia"/>
          <w:color w:val="000000"/>
          <w:kern w:val="0"/>
        </w:rPr>
        <w:t>25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475B2F" w:rsidRPr="00FA1FA1">
        <w:rPr>
          <w:rFonts w:ascii="標楷體" w:eastAsia="標楷體" w:hAnsi="標楷體" w:cs="新細明體" w:hint="eastAsia"/>
          <w:color w:val="000000"/>
          <w:kern w:val="0"/>
        </w:rPr>
        <w:t>TB(含)以上之硬碟空間</w:t>
      </w:r>
      <w:r w:rsidR="00696D87" w:rsidRPr="0077573F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696D87" w:rsidRPr="00FA1FA1">
        <w:rPr>
          <w:rFonts w:ascii="標楷體" w:eastAsia="標楷體" w:hAnsi="標楷體" w:cs="新細明體" w:hint="eastAsia"/>
          <w:color w:val="000000"/>
          <w:kern w:val="0"/>
        </w:rPr>
        <w:t>並另外提供熱備援(Hot Spare)硬碟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2C2D31" w:rsidRPr="00FA1FA1">
        <w:rPr>
          <w:rFonts w:ascii="標楷體" w:eastAsia="標楷體" w:hAnsi="標楷體" w:cs="新細明體" w:hint="eastAsia"/>
          <w:color w:val="000000"/>
          <w:kern w:val="0"/>
        </w:rPr>
        <w:t>數量與RAID</w:t>
      </w:r>
      <w:r w:rsidR="006D4DC3" w:rsidRPr="00FA1FA1">
        <w:rPr>
          <w:rFonts w:ascii="標楷體" w:eastAsia="標楷體" w:hAnsi="標楷體" w:cs="新細明體" w:hint="eastAsia"/>
          <w:color w:val="000000"/>
          <w:kern w:val="0"/>
        </w:rPr>
        <w:t>組成</w:t>
      </w:r>
      <w:r w:rsidR="002C2D31" w:rsidRPr="00FA1FA1">
        <w:rPr>
          <w:rFonts w:ascii="標楷體" w:eastAsia="標楷體" w:hAnsi="標楷體" w:cs="新細明體" w:hint="eastAsia"/>
          <w:color w:val="000000"/>
          <w:kern w:val="0"/>
        </w:rPr>
        <w:t>數相同</w:t>
      </w:r>
      <w:r w:rsidR="006D4DC3" w:rsidRPr="00FA1FA1">
        <w:rPr>
          <w:rFonts w:ascii="標楷體" w:eastAsia="標楷體" w:hAnsi="標楷體" w:cs="新細明體" w:hint="eastAsia"/>
          <w:color w:val="000000"/>
          <w:kern w:val="0"/>
        </w:rPr>
        <w:t>(一個RAID組成，搭配一顆Hot Spare)</w:t>
      </w:r>
      <w:r w:rsidR="00696D87" w:rsidRPr="00FA1FA1">
        <w:rPr>
          <w:rFonts w:ascii="標楷體" w:eastAsia="標楷體" w:hAnsi="標楷體" w:cs="新細明體" w:hint="eastAsia"/>
          <w:color w:val="000000"/>
          <w:kern w:val="0"/>
        </w:rPr>
        <w:t>。【熱備援(Hot Spare)硬碟不包含在可用容量內】</w:t>
      </w:r>
      <w:r w:rsidR="00475B2F"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7519EC" w:rsidRPr="00FA1FA1" w:rsidRDefault="001F7A38" w:rsidP="001F7A38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儲存系統之效能至少須為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700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MB/s(含)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以上之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效能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，讀取或寫入</w:t>
      </w:r>
      <w:r w:rsidR="008E632A" w:rsidRPr="00FA1FA1">
        <w:rPr>
          <w:rFonts w:ascii="標楷體" w:eastAsia="標楷體" w:hAnsi="標楷體" w:cs="新細明體" w:hint="eastAsia"/>
          <w:color w:val="000000"/>
          <w:kern w:val="0"/>
        </w:rPr>
        <w:t>的數據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以效能最小的為標準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F230F4" w:rsidRPr="00FA1FA1" w:rsidRDefault="00475B2F" w:rsidP="00F230F4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/>
          <w:color w:val="000000"/>
          <w:kern w:val="0"/>
        </w:rPr>
        <w:t>需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提供</w:t>
      </w:r>
      <w:r w:rsidR="00FB36C2" w:rsidRPr="00FA1FA1">
        <w:rPr>
          <w:rFonts w:ascii="標楷體" w:eastAsia="標楷體" w:hAnsi="標楷體" w:cs="新細明體" w:hint="eastAsia"/>
          <w:color w:val="000000"/>
          <w:kern w:val="0"/>
        </w:rPr>
        <w:t>備援</w:t>
      </w:r>
      <w:r w:rsidRPr="00FA1FA1">
        <w:rPr>
          <w:rFonts w:ascii="標楷體" w:eastAsia="標楷體" w:hAnsi="標楷體" w:cs="新細明體"/>
          <w:color w:val="000000"/>
          <w:kern w:val="0"/>
        </w:rPr>
        <w:t>控制器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7519EC" w:rsidRPr="00FA1FA1">
        <w:rPr>
          <w:rFonts w:ascii="標楷體" w:eastAsia="標楷體" w:hAnsi="標楷體" w:cs="新細明體" w:hint="eastAsia"/>
          <w:color w:val="000000"/>
          <w:kern w:val="0"/>
        </w:rPr>
        <w:t>並</w:t>
      </w:r>
      <w:r w:rsidR="00FB36C2" w:rsidRPr="00FA1FA1">
        <w:rPr>
          <w:rFonts w:ascii="標楷體" w:eastAsia="標楷體" w:hAnsi="標楷體" w:cs="新細明體" w:hint="eastAsia"/>
          <w:color w:val="000000"/>
          <w:kern w:val="0"/>
        </w:rPr>
        <w:t>採用</w:t>
      </w:r>
      <w:r w:rsidR="00FB36C2" w:rsidRPr="00FA1FA1">
        <w:rPr>
          <w:rFonts w:ascii="標楷體" w:eastAsia="標楷體" w:hAnsi="標楷體" w:cs="新細明體"/>
          <w:color w:val="000000"/>
          <w:kern w:val="0"/>
        </w:rPr>
        <w:t xml:space="preserve">無排線可抽換式, </w:t>
      </w:r>
      <w:r w:rsidR="00FB36C2" w:rsidRPr="00FA1FA1">
        <w:rPr>
          <w:rFonts w:ascii="標楷體" w:eastAsia="標楷體" w:hAnsi="標楷體" w:cs="新細明體" w:hint="eastAsia"/>
          <w:color w:val="000000"/>
          <w:kern w:val="0"/>
        </w:rPr>
        <w:t>當異常時可</w:t>
      </w:r>
      <w:r w:rsidR="00E90523" w:rsidRPr="00FA1FA1">
        <w:rPr>
          <w:rFonts w:ascii="標楷體" w:eastAsia="標楷體" w:hAnsi="標楷體" w:cs="新細明體" w:hint="eastAsia"/>
          <w:color w:val="000000"/>
          <w:kern w:val="0"/>
        </w:rPr>
        <w:t>快速完成更換作業</w:t>
      </w:r>
      <w:r w:rsidR="00E90523" w:rsidRPr="00FA1FA1">
        <w:rPr>
          <w:rFonts w:ascii="標楷體" w:eastAsia="標楷體" w:hAnsi="標楷體" w:cs="新細明體"/>
          <w:color w:val="000000"/>
          <w:kern w:val="0"/>
        </w:rPr>
        <w:t xml:space="preserve">, </w:t>
      </w:r>
      <w:r w:rsidR="00E90523" w:rsidRPr="00FA1FA1">
        <w:rPr>
          <w:rFonts w:ascii="標楷體" w:eastAsia="標楷體" w:hAnsi="標楷體" w:cs="新細明體" w:hint="eastAsia"/>
          <w:color w:val="000000"/>
          <w:kern w:val="0"/>
        </w:rPr>
        <w:t>且不影響系統資料安全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F230F4" w:rsidRPr="00FA1FA1" w:rsidRDefault="00F230F4" w:rsidP="00F230F4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File level protocol支援 CIFS/SMB, NFS。</w:t>
      </w:r>
    </w:p>
    <w:p w:rsidR="009B3266" w:rsidRPr="00FA1FA1" w:rsidRDefault="009B3266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磁碟陣列系統可支援 Windows, Solaris, Linux及 VMware等多種平台。</w:t>
      </w:r>
    </w:p>
    <w:p w:rsidR="00475B2F" w:rsidRPr="00FA1FA1" w:rsidRDefault="002B265B" w:rsidP="00912AB8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提供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單一控制器</w:t>
      </w:r>
      <w:r w:rsidR="00846E3A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光纖連接埠（Fiber </w:t>
      </w:r>
      <w:r w:rsidR="00BD3164" w:rsidRPr="00FA1FA1">
        <w:rPr>
          <w:rFonts w:ascii="標楷體" w:eastAsia="標楷體" w:hAnsi="標楷體" w:cs="新細明體"/>
          <w:color w:val="000000"/>
          <w:kern w:val="0"/>
        </w:rPr>
        <w:t>Port</w:t>
      </w:r>
      <w:r w:rsidR="00846E3A" w:rsidRPr="00FA1FA1">
        <w:rPr>
          <w:rFonts w:ascii="標楷體" w:eastAsia="標楷體" w:hAnsi="標楷體" w:cs="新細明體" w:hint="eastAsia"/>
          <w:color w:val="000000"/>
          <w:kern w:val="0"/>
        </w:rPr>
        <w:t>）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10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7A280F" w:rsidRPr="00FA1FA1">
        <w:rPr>
          <w:rFonts w:ascii="標楷體" w:eastAsia="標楷體" w:hAnsi="標楷體" w:cs="新細明體"/>
          <w:color w:val="000000"/>
          <w:kern w:val="0"/>
        </w:rPr>
        <w:t>GbE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FC介面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個(含)以上</w:t>
      </w:r>
      <w:r w:rsidR="00475B2F" w:rsidRPr="00FA1FA1">
        <w:rPr>
          <w:rFonts w:ascii="標楷體" w:eastAsia="標楷體" w:hAnsi="標楷體" w:hint="eastAsia"/>
          <w:color w:val="000000"/>
        </w:rPr>
        <w:t>。</w:t>
      </w:r>
    </w:p>
    <w:p w:rsidR="00F230F4" w:rsidRPr="00FA1FA1" w:rsidRDefault="007A280F" w:rsidP="00F230F4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 xml:space="preserve">提供單一控制器乙太網路埠（RJ45）1 </w:t>
      </w:r>
      <w:r w:rsidRPr="00FA1FA1">
        <w:rPr>
          <w:rFonts w:ascii="標楷體" w:eastAsia="標楷體" w:hAnsi="標楷體" w:cs="新細明體"/>
          <w:color w:val="000000"/>
          <w:kern w:val="0"/>
        </w:rPr>
        <w:t>GbE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(含)以上</w:t>
      </w:r>
      <w:r w:rsidR="008E632A" w:rsidRPr="00FA1FA1">
        <w:rPr>
          <w:rFonts w:ascii="標楷體" w:eastAsia="標楷體" w:hAnsi="標楷體" w:cs="新細明體" w:hint="eastAsia"/>
          <w:color w:val="000000"/>
          <w:kern w:val="0"/>
        </w:rPr>
        <w:t>4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個</w:t>
      </w:r>
      <w:r w:rsidR="00A81798" w:rsidRPr="00FA1FA1">
        <w:rPr>
          <w:rFonts w:ascii="標楷體" w:eastAsia="標楷體" w:hAnsi="標楷體" w:cs="新細明體" w:hint="eastAsia"/>
          <w:color w:val="000000"/>
          <w:kern w:val="0"/>
        </w:rPr>
        <w:t>(含)以上</w:t>
      </w:r>
      <w:r w:rsidR="00A81798" w:rsidRPr="00FA1FA1">
        <w:rPr>
          <w:rFonts w:ascii="標楷體" w:eastAsia="標楷體" w:hAnsi="標楷體" w:hint="eastAsia"/>
          <w:color w:val="000000"/>
        </w:rPr>
        <w:t>。</w:t>
      </w:r>
    </w:p>
    <w:p w:rsidR="00A81798" w:rsidRPr="00FA1FA1" w:rsidRDefault="00475B2F" w:rsidP="00475B2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提供圖形介面(GUI/Web)管理軟體</w:t>
      </w:r>
      <w:r w:rsidR="00F230F4" w:rsidRPr="00FA1FA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:rsidR="00A81798" w:rsidRPr="00FA1FA1" w:rsidRDefault="00A81798" w:rsidP="00A81798">
      <w:pPr>
        <w:pStyle w:val="a7"/>
        <w:widowControl/>
        <w:numPr>
          <w:ilvl w:val="1"/>
          <w:numId w:val="1"/>
        </w:numPr>
        <w:spacing w:line="44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磁碟效能</w:t>
      </w:r>
      <w:r w:rsidR="008E632A" w:rsidRPr="00FA1FA1">
        <w:rPr>
          <w:rFonts w:ascii="標楷體" w:eastAsia="標楷體" w:hAnsi="標楷體" w:cs="新細明體" w:hint="eastAsia"/>
          <w:color w:val="000000"/>
          <w:kern w:val="0"/>
        </w:rPr>
        <w:t>即時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監控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: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磁碟即時流量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A81798" w:rsidRPr="00FA1FA1" w:rsidRDefault="00A81798" w:rsidP="00A81798">
      <w:pPr>
        <w:pStyle w:val="a7"/>
        <w:widowControl/>
        <w:numPr>
          <w:ilvl w:val="1"/>
          <w:numId w:val="1"/>
        </w:numPr>
        <w:spacing w:line="44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網路效能</w:t>
      </w:r>
      <w:r w:rsidR="008E632A" w:rsidRPr="00FA1FA1">
        <w:rPr>
          <w:rFonts w:ascii="標楷體" w:eastAsia="標楷體" w:hAnsi="標楷體" w:cs="新細明體" w:hint="eastAsia"/>
          <w:color w:val="000000"/>
          <w:kern w:val="0"/>
        </w:rPr>
        <w:t>即時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監控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: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每一個實體網路端口的效能監控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提供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(TX/RX顯示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方式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) 並紀錄最多可達一小時(含)以上的歷史資訊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A81798" w:rsidRPr="00FA1FA1" w:rsidRDefault="00A81798" w:rsidP="00A81798">
      <w:pPr>
        <w:pStyle w:val="a7"/>
        <w:widowControl/>
        <w:numPr>
          <w:ilvl w:val="1"/>
          <w:numId w:val="1"/>
        </w:numPr>
        <w:spacing w:line="44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可調整的效能資訊頁面更新速度最低設定為5 secs(含)以下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475B2F" w:rsidRPr="00FA1FA1" w:rsidRDefault="00475B2F" w:rsidP="00A81798">
      <w:pPr>
        <w:pStyle w:val="a7"/>
        <w:widowControl/>
        <w:numPr>
          <w:ilvl w:val="1"/>
          <w:numId w:val="1"/>
        </w:numPr>
        <w:spacing w:line="440" w:lineRule="atLeast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具備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系統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線上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管理</w:t>
      </w:r>
      <w:r w:rsidR="00FC60B2" w:rsidRPr="00FA1FA1">
        <w:rPr>
          <w:rFonts w:ascii="標楷體" w:eastAsia="標楷體" w:hAnsi="標楷體" w:cs="新細明體" w:hint="eastAsia"/>
          <w:color w:val="000000"/>
          <w:kern w:val="0"/>
        </w:rPr>
        <w:t>、調整、設定、等</w:t>
      </w:r>
      <w:r w:rsidR="007A280F" w:rsidRPr="00FA1FA1">
        <w:rPr>
          <w:rFonts w:ascii="標楷體" w:eastAsia="標楷體" w:hAnsi="標楷體" w:cs="新細明體" w:hint="eastAsia"/>
          <w:color w:val="000000"/>
          <w:kern w:val="0"/>
        </w:rPr>
        <w:t>功能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F7A38" w:rsidRPr="0077573F" w:rsidRDefault="001F7A38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提供兩組(含)以上之可熱抽換容錯備援電源系統(Redundant Power Supply)。</w:t>
      </w:r>
    </w:p>
    <w:p w:rsidR="00F230F4" w:rsidRPr="0077573F" w:rsidRDefault="00F230F4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所有網路接口需有t</w:t>
      </w:r>
      <w:r w:rsidRPr="0077573F">
        <w:rPr>
          <w:rFonts w:ascii="標楷體" w:eastAsia="標楷體" w:hAnsi="標楷體" w:cs="新細明體"/>
          <w:color w:val="000000"/>
          <w:kern w:val="0"/>
        </w:rPr>
        <w:t>runk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功能。</w:t>
      </w:r>
    </w:p>
    <w:p w:rsidR="008E632A" w:rsidRPr="0077573F" w:rsidRDefault="00F230F4" w:rsidP="0077573F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須</w:t>
      </w:r>
      <w:r w:rsidR="00AC127C" w:rsidRPr="0077573F">
        <w:rPr>
          <w:rFonts w:ascii="標楷體" w:eastAsia="標楷體" w:hAnsi="標楷體" w:cs="新細明體" w:hint="eastAsia"/>
          <w:color w:val="000000"/>
          <w:kern w:val="0"/>
        </w:rPr>
        <w:t>無償</w:t>
      </w:r>
      <w:r w:rsidR="008E632A" w:rsidRPr="0077573F">
        <w:rPr>
          <w:rFonts w:ascii="標楷體" w:eastAsia="標楷體" w:hAnsi="標楷體" w:cs="新細明體" w:hint="eastAsia"/>
          <w:color w:val="000000"/>
          <w:kern w:val="0"/>
        </w:rPr>
        <w:t>提供正常</w:t>
      </w:r>
      <w:r w:rsidR="00AC127C" w:rsidRPr="0077573F">
        <w:rPr>
          <w:rFonts w:ascii="標楷體" w:eastAsia="標楷體" w:hAnsi="標楷體" w:cs="新細明體" w:hint="eastAsia"/>
          <w:color w:val="000000"/>
          <w:kern w:val="0"/>
        </w:rPr>
        <w:t>運作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所需</w:t>
      </w:r>
      <w:r w:rsidR="008E632A" w:rsidRPr="0077573F">
        <w:rPr>
          <w:rFonts w:ascii="標楷體" w:eastAsia="標楷體" w:hAnsi="標楷體" w:cs="新細明體" w:hint="eastAsia"/>
          <w:color w:val="000000"/>
          <w:kern w:val="0"/>
        </w:rPr>
        <w:t>的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所有</w:t>
      </w:r>
      <w:r w:rsidR="00AC127C" w:rsidRPr="0077573F">
        <w:rPr>
          <w:rFonts w:ascii="標楷體" w:eastAsia="標楷體" w:hAnsi="標楷體" w:cs="新細明體" w:hint="eastAsia"/>
          <w:color w:val="000000"/>
          <w:kern w:val="0"/>
        </w:rPr>
        <w:t>周邊，含</w:t>
      </w:r>
      <w:r w:rsidR="008E632A" w:rsidRPr="0077573F">
        <w:rPr>
          <w:rFonts w:ascii="標楷體" w:eastAsia="標楷體" w:hAnsi="標楷體" w:cs="新細明體" w:hint="eastAsia"/>
          <w:color w:val="000000"/>
          <w:kern w:val="0"/>
        </w:rPr>
        <w:t>光纖接頭</w:t>
      </w:r>
      <w:r w:rsidR="00AC127C" w:rsidRPr="0077573F">
        <w:rPr>
          <w:rFonts w:ascii="標楷體" w:eastAsia="標楷體" w:hAnsi="標楷體" w:cs="新細明體" w:hint="eastAsia"/>
          <w:color w:val="000000"/>
          <w:kern w:val="0"/>
        </w:rPr>
        <w:t>GBIC、線材等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F7A38" w:rsidRPr="00CC2533" w:rsidRDefault="00CC2533" w:rsidP="00CC2533">
      <w:pPr>
        <w:widowControl/>
        <w:numPr>
          <w:ilvl w:val="0"/>
          <w:numId w:val="1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CC2533">
        <w:rPr>
          <w:rFonts w:ascii="標楷體" w:eastAsia="標楷體" w:hAnsi="標楷體" w:cs="新細明體" w:hint="eastAsia"/>
          <w:color w:val="000000"/>
          <w:kern w:val="0"/>
        </w:rPr>
        <w:t>為了維護本單位所採購產品的品質 , 投標商必須提供產品製造商ISO 9001國際品質管理系統認證書 , 以及符合CE,  FCC,  BSMI, 等該品牌產品型號的安規認證</w:t>
      </w:r>
    </w:p>
    <w:p w:rsidR="001F7A38" w:rsidRDefault="001F7A38" w:rsidP="001F7A38">
      <w:pPr>
        <w:rPr>
          <w:rFonts w:ascii="標楷體" w:eastAsia="標楷體" w:hAnsi="標楷體" w:cs="新細明體"/>
          <w:kern w:val="0"/>
        </w:rPr>
      </w:pPr>
    </w:p>
    <w:p w:rsidR="001F7A38" w:rsidRPr="00FA1FA1" w:rsidRDefault="007A280F" w:rsidP="00FB36C2">
      <w:pPr>
        <w:tabs>
          <w:tab w:val="left" w:pos="840"/>
          <w:tab w:val="num" w:pos="1710"/>
        </w:tabs>
        <w:ind w:leftChars="5" w:left="132" w:hangingChars="50" w:hanging="120"/>
        <w:rPr>
          <w:rFonts w:ascii="標楷體" w:eastAsia="標楷體" w:hAnsi="標楷體"/>
          <w:b/>
          <w:color w:val="000000"/>
        </w:rPr>
      </w:pPr>
      <w:r w:rsidRPr="00FA1FA1">
        <w:rPr>
          <w:rFonts w:ascii="標楷體" w:eastAsia="標楷體" w:hAnsi="標楷體" w:hint="eastAsia"/>
          <w:b/>
          <w:color w:val="000000"/>
        </w:rPr>
        <w:lastRenderedPageBreak/>
        <w:t>保固與服務：</w:t>
      </w:r>
    </w:p>
    <w:p w:rsidR="00475B2F" w:rsidRPr="00FA1FA1" w:rsidRDefault="00475B2F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本案需提包含安裝及3年</w:t>
      </w:r>
      <w:r w:rsidRPr="00FA1FA1">
        <w:rPr>
          <w:rFonts w:ascii="標楷體" w:eastAsia="標楷體" w:hAnsi="標楷體" w:cs="新細明體"/>
          <w:color w:val="000000"/>
          <w:kern w:val="0"/>
        </w:rPr>
        <w:t>7</w:t>
      </w:r>
      <w:r w:rsidR="006D4DC3" w:rsidRPr="00FA1FA1">
        <w:rPr>
          <w:rFonts w:ascii="標楷體" w:eastAsia="標楷體" w:hAnsi="標楷體" w:cs="新細明體" w:hint="eastAsia"/>
          <w:color w:val="000000"/>
          <w:kern w:val="0"/>
        </w:rPr>
        <w:t xml:space="preserve"> X </w:t>
      </w:r>
      <w:r w:rsidRPr="00FA1FA1">
        <w:rPr>
          <w:rFonts w:ascii="標楷體" w:eastAsia="標楷體" w:hAnsi="標楷體" w:cs="新細明體"/>
          <w:color w:val="000000"/>
          <w:kern w:val="0"/>
        </w:rPr>
        <w:t>24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保固及維護。</w:t>
      </w:r>
    </w:p>
    <w:p w:rsidR="00677BEB" w:rsidRPr="00FA1FA1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維護內容包含軟硬體維護、升級、設定、轉移、更換、問題排除或疑問解答等。</w:t>
      </w:r>
    </w:p>
    <w:p w:rsidR="00A204D8" w:rsidRPr="0077573F" w:rsidRDefault="006D4DC3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狀況發生時，需4小時到場緊急維護，8小時內完修。</w:t>
      </w:r>
    </w:p>
    <w:p w:rsidR="00F230F4" w:rsidRPr="0077573F" w:rsidRDefault="00094199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FA1FA1">
        <w:rPr>
          <w:rFonts w:ascii="標楷體" w:eastAsia="標楷體" w:hAnsi="標楷體" w:cs="新細明體" w:hint="eastAsia"/>
          <w:color w:val="000000"/>
          <w:kern w:val="0"/>
        </w:rPr>
        <w:t>須</w:t>
      </w:r>
      <w:r w:rsidR="00F230F4" w:rsidRPr="00FA1FA1">
        <w:rPr>
          <w:rFonts w:ascii="標楷體" w:eastAsia="標楷體" w:hAnsi="標楷體" w:cs="新細明體" w:hint="eastAsia"/>
          <w:color w:val="000000"/>
          <w:kern w:val="0"/>
        </w:rPr>
        <w:t>提</w:t>
      </w:r>
      <w:r w:rsidRPr="00FA1FA1">
        <w:rPr>
          <w:rFonts w:ascii="標楷體" w:eastAsia="標楷體" w:hAnsi="標楷體" w:cs="新細明體" w:hint="eastAsia"/>
          <w:color w:val="000000"/>
          <w:kern w:val="0"/>
        </w:rPr>
        <w:t>供4顆備援硬碟，以備更換。</w:t>
      </w:r>
    </w:p>
    <w:p w:rsidR="0077573F" w:rsidRPr="0077573F" w:rsidRDefault="0077573F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b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b/>
          <w:color w:val="000000"/>
          <w:kern w:val="0"/>
        </w:rPr>
        <w:t>此次採購須在</w:t>
      </w:r>
      <w:r w:rsidR="0081721E">
        <w:rPr>
          <w:rFonts w:ascii="標楷體" w:eastAsia="標楷體" w:hAnsi="標楷體" w:cs="新細明體" w:hint="eastAsia"/>
          <w:b/>
          <w:color w:val="000000"/>
          <w:kern w:val="0"/>
        </w:rPr>
        <w:t>簽約後45個工作天</w:t>
      </w:r>
      <w:r w:rsidRPr="0077573F">
        <w:rPr>
          <w:rFonts w:ascii="標楷體" w:eastAsia="標楷體" w:hAnsi="標楷體" w:cs="新細明體" w:hint="eastAsia"/>
          <w:b/>
          <w:color w:val="000000"/>
          <w:kern w:val="0"/>
        </w:rPr>
        <w:t>驗收。</w:t>
      </w:r>
    </w:p>
    <w:p w:rsidR="00677BEB" w:rsidRPr="0077573F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罰款：未依合約規範，每逾壹小時按合約標的總價款千分之一計罰，至合約總金額</w:t>
      </w:r>
      <w:r w:rsidR="00CE5DD1"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77573F">
        <w:rPr>
          <w:rFonts w:ascii="標楷體" w:eastAsia="標楷體" w:hAnsi="標楷體" w:cs="新細明體" w:hint="eastAsia"/>
          <w:color w:val="000000"/>
          <w:kern w:val="0"/>
        </w:rPr>
        <w:t>0%為上限。</w:t>
      </w:r>
    </w:p>
    <w:p w:rsidR="00677BEB" w:rsidRPr="0077573F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無論客戶對軟、硬體操作有任何問題，致電廠商尋求服務，廠商服務人員將以電話或傳真或e-mail方式解答客戶的問題。</w:t>
      </w:r>
    </w:p>
    <w:p w:rsidR="00677BEB" w:rsidRPr="0077573F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若客戶在正常操作時發生軟、硬體問題，廠商將視問題情況，以電腦連線方式服務。</w:t>
      </w:r>
    </w:p>
    <w:p w:rsidR="00677BEB" w:rsidRPr="0077573F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若問題無法以電腦連線及電詢服務解決，廠商應派服務人員於接到客戶通知起算4小時內到場服務(所在地: 內湖康寧路機房)。</w:t>
      </w:r>
    </w:p>
    <w:p w:rsidR="00677BEB" w:rsidRPr="0077573F" w:rsidRDefault="00677BEB" w:rsidP="0077573F">
      <w:pPr>
        <w:widowControl/>
        <w:numPr>
          <w:ilvl w:val="0"/>
          <w:numId w:val="13"/>
        </w:numPr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  <w:r w:rsidRPr="0077573F">
        <w:rPr>
          <w:rFonts w:ascii="標楷體" w:eastAsia="標楷體" w:hAnsi="標楷體" w:cs="新細明體" w:hint="eastAsia"/>
          <w:color w:val="000000"/>
          <w:kern w:val="0"/>
        </w:rPr>
        <w:t>本契約服務標的有不可歸責於客戶之原因，致需廠商維（修）護軟體或更新程式版本等情事，廠商應於客戶提出需求之時日起算5個工作日內完成維（修）護或更新。</w:t>
      </w:r>
    </w:p>
    <w:p w:rsidR="00BD3164" w:rsidRPr="00FA1FA1" w:rsidRDefault="00BD3164" w:rsidP="00BD3164">
      <w:pPr>
        <w:widowControl/>
        <w:spacing w:line="440" w:lineRule="atLeast"/>
        <w:rPr>
          <w:rFonts w:ascii="標楷體" w:eastAsia="標楷體" w:hAnsi="標楷體" w:cs="新細明體"/>
          <w:color w:val="000000"/>
          <w:kern w:val="0"/>
        </w:rPr>
      </w:pPr>
    </w:p>
    <w:p w:rsidR="00FA1FA1" w:rsidRPr="00FA1FA1" w:rsidRDefault="00FA1FA1" w:rsidP="00FA1FA1">
      <w:pPr>
        <w:tabs>
          <w:tab w:val="left" w:pos="840"/>
          <w:tab w:val="num" w:pos="1710"/>
        </w:tabs>
        <w:spacing w:line="0" w:lineRule="atLeast"/>
        <w:ind w:firstLineChars="4" w:firstLine="11"/>
        <w:rPr>
          <w:rFonts w:ascii="標楷體" w:eastAsia="標楷體" w:hAnsi="標楷體"/>
          <w:b/>
          <w:color w:val="000000"/>
          <w:sz w:val="28"/>
        </w:rPr>
      </w:pPr>
      <w:r w:rsidRPr="00FA1FA1">
        <w:rPr>
          <w:rFonts w:ascii="標楷體" w:eastAsia="標楷體" w:hAnsi="標楷體" w:hint="eastAsia"/>
          <w:b/>
          <w:color w:val="000000"/>
          <w:sz w:val="28"/>
        </w:rPr>
        <w:t>實機測試規範：</w:t>
      </w:r>
    </w:p>
    <w:p w:rsidR="00FA1FA1" w:rsidRPr="00FA1FA1" w:rsidRDefault="00FA1FA1" w:rsidP="00FA1FA1">
      <w:pPr>
        <w:widowControl/>
        <w:spacing w:line="440" w:lineRule="atLeast"/>
        <w:ind w:left="480"/>
        <w:rPr>
          <w:rFonts w:ascii="標楷體" w:eastAsia="標楷體" w:hAnsi="標楷體"/>
        </w:rPr>
      </w:pPr>
      <w:r w:rsidRPr="00FA1FA1">
        <w:rPr>
          <w:rFonts w:ascii="標楷體" w:eastAsia="標楷體" w:hAnsi="標楷體" w:hint="eastAsia"/>
        </w:rPr>
        <w:t xml:space="preserve">    本次採購採一次投標</w:t>
      </w:r>
      <w:r w:rsidR="00CC2533">
        <w:rPr>
          <w:rFonts w:ascii="標楷體" w:eastAsia="標楷體" w:hAnsi="標楷體" w:hint="eastAsia"/>
        </w:rPr>
        <w:t>三</w:t>
      </w:r>
      <w:r w:rsidRPr="00FA1FA1">
        <w:rPr>
          <w:rFonts w:ascii="標楷體" w:eastAsia="標楷體" w:hAnsi="標楷體" w:hint="eastAsia"/>
        </w:rPr>
        <w:t>段開標方式辦理，投標廠商參與本案投標，除需審閱規格外，必須提供</w:t>
      </w:r>
      <w:r w:rsidR="00C73A07">
        <w:rPr>
          <w:rFonts w:ascii="標楷體" w:eastAsia="標楷體" w:hAnsi="標楷體" w:hint="eastAsia"/>
        </w:rPr>
        <w:t>部分</w:t>
      </w:r>
      <w:r w:rsidRPr="00FA1FA1">
        <w:rPr>
          <w:rFonts w:ascii="標楷體" w:eastAsia="標楷體" w:hAnsi="標楷體" w:hint="eastAsia"/>
        </w:rPr>
        <w:t>相關設備或</w:t>
      </w:r>
      <w:r w:rsidR="00C73A07">
        <w:rPr>
          <w:rFonts w:ascii="標楷體" w:eastAsia="標楷體" w:hAnsi="標楷體" w:hint="eastAsia"/>
        </w:rPr>
        <w:t>部分</w:t>
      </w:r>
      <w:r w:rsidRPr="00FA1FA1">
        <w:rPr>
          <w:rFonts w:ascii="標楷體" w:eastAsia="標楷體" w:hAnsi="標楷體" w:hint="eastAsia"/>
        </w:rPr>
        <w:t>測試物件進行規格實測，經實機測試合格後，方能參與「價格標」之開標程序。</w:t>
      </w:r>
    </w:p>
    <w:p w:rsidR="00FA1FA1" w:rsidRPr="00FA1FA1" w:rsidRDefault="00FA1FA1" w:rsidP="00FA1FA1">
      <w:pPr>
        <w:tabs>
          <w:tab w:val="left" w:pos="840"/>
          <w:tab w:val="num" w:pos="1710"/>
        </w:tabs>
        <w:spacing w:line="0" w:lineRule="atLeast"/>
        <w:ind w:leftChars="100" w:left="240" w:firstLineChars="4" w:firstLine="11"/>
        <w:rPr>
          <w:rFonts w:ascii="標楷體" w:eastAsia="標楷體" w:hAnsi="標楷體"/>
          <w:b/>
          <w:color w:val="000000"/>
          <w:sz w:val="28"/>
        </w:rPr>
      </w:pPr>
    </w:p>
    <w:p w:rsidR="00FA1FA1" w:rsidRPr="00FA1FA1" w:rsidRDefault="00FA1FA1" w:rsidP="00FA1FA1">
      <w:pPr>
        <w:tabs>
          <w:tab w:val="left" w:pos="840"/>
          <w:tab w:val="num" w:pos="1710"/>
        </w:tabs>
        <w:spacing w:line="0" w:lineRule="atLeast"/>
        <w:ind w:firstLineChars="4" w:firstLine="11"/>
        <w:rPr>
          <w:rFonts w:ascii="標楷體" w:eastAsia="標楷體" w:hAnsi="標楷體"/>
          <w:b/>
          <w:color w:val="000000"/>
          <w:sz w:val="28"/>
        </w:rPr>
      </w:pPr>
      <w:r w:rsidRPr="00FA1FA1">
        <w:rPr>
          <w:rFonts w:ascii="標楷體" w:eastAsia="標楷體" w:hAnsi="標楷體" w:hint="eastAsia"/>
          <w:b/>
          <w:color w:val="000000"/>
          <w:sz w:val="28"/>
        </w:rPr>
        <w:t>系統測試方法及步驟：</w:t>
      </w:r>
    </w:p>
    <w:p w:rsidR="00FA1FA1" w:rsidRDefault="00FA1FA1" w:rsidP="009004FD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9004FD">
        <w:rPr>
          <w:rFonts w:ascii="標楷體" w:eastAsia="標楷體" w:hAnsi="標楷體" w:hint="eastAsia"/>
        </w:rPr>
        <w:t>投標廠商於投標後，經規格文件審查合格</w:t>
      </w:r>
      <w:r w:rsidR="00E44AC9">
        <w:rPr>
          <w:rFonts w:ascii="標楷體" w:eastAsia="標楷體" w:hAnsi="標楷體" w:hint="eastAsia"/>
        </w:rPr>
        <w:t>後</w:t>
      </w:r>
      <w:r w:rsidRPr="009004FD">
        <w:rPr>
          <w:rFonts w:ascii="標楷體" w:eastAsia="標楷體" w:hAnsi="標楷體" w:hint="eastAsia"/>
        </w:rPr>
        <w:t>，</w:t>
      </w:r>
      <w:r w:rsidR="00E44AC9">
        <w:rPr>
          <w:rFonts w:ascii="標楷體" w:eastAsia="標楷體" w:hAnsi="標楷體" w:hint="eastAsia"/>
        </w:rPr>
        <w:t>現場通知測試時間(所有測試時間將安排於開標後三個工作天內)</w:t>
      </w:r>
      <w:r w:rsidRPr="009004FD">
        <w:rPr>
          <w:rFonts w:ascii="標楷體" w:eastAsia="標楷體" w:hAnsi="標楷體" w:hint="eastAsia"/>
        </w:rPr>
        <w:t>將相關受測之設備、物件、安裝時所需之設備或其他材料(可含備品)，於上班時間（上午十時至下午六時）送至財團法人公共電視文化事業基金會（以下簡稱為公視基金會）指定地點，需詳列測試設備、物件等明細，於送至公視基金會指定地點時查驗，一經查驗後不得以任何理由要求增加或移出任何設備、物件、安裝時所需之設備及其他材料，直至測試結束為止。投標廠商須於公視基金會指定之一個工作日（上午十時至下午六時，安裝及測試日期</w:t>
      </w:r>
      <w:r w:rsidR="009004FD" w:rsidRPr="009004FD">
        <w:rPr>
          <w:rFonts w:ascii="標楷體" w:eastAsia="標楷體" w:hAnsi="標楷體" w:hint="eastAsia"/>
        </w:rPr>
        <w:t>時間可以</w:t>
      </w:r>
      <w:r w:rsidRPr="009004FD">
        <w:rPr>
          <w:rFonts w:ascii="標楷體" w:eastAsia="標楷體" w:hAnsi="標楷體" w:hint="eastAsia"/>
        </w:rPr>
        <w:t>不同）內完成系統安裝，安裝、測試之人員直接進入指定之地點，不得攜帶任何物品出入，直至測試結束為止。</w:t>
      </w:r>
      <w:r w:rsidRPr="009004FD">
        <w:rPr>
          <w:rFonts w:ascii="標楷體" w:eastAsia="標楷體" w:hAnsi="標楷體" w:hint="eastAsia"/>
          <w:u w:val="single"/>
        </w:rPr>
        <w:t>若投標廠商違反規定，不得參與標案後續之程序</w:t>
      </w:r>
      <w:r w:rsidRPr="009004FD">
        <w:rPr>
          <w:rFonts w:ascii="標楷體" w:eastAsia="標楷體" w:hAnsi="標楷體" w:hint="eastAsia"/>
        </w:rPr>
        <w:t>。</w:t>
      </w:r>
    </w:p>
    <w:p w:rsidR="0077573F" w:rsidRDefault="0077573F" w:rsidP="0077573F">
      <w:pPr>
        <w:pStyle w:val="a7"/>
        <w:widowControl/>
        <w:spacing w:line="440" w:lineRule="atLeast"/>
        <w:ind w:leftChars="0" w:left="632"/>
        <w:rPr>
          <w:rFonts w:ascii="標楷體" w:eastAsia="標楷體" w:hAnsi="標楷體"/>
        </w:rPr>
      </w:pPr>
    </w:p>
    <w:p w:rsidR="009004FD" w:rsidRDefault="009004FD" w:rsidP="009004FD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9004FD">
        <w:rPr>
          <w:rFonts w:ascii="標楷體" w:eastAsia="標楷體" w:hAnsi="標楷體" w:hint="eastAsia"/>
        </w:rPr>
        <w:t>投標廠商送測之設備、物件或相關軟硬體，投標廠商需製作送測設備清單(如附件2-A)以供查驗。不符規定者為不合格標。</w:t>
      </w:r>
    </w:p>
    <w:p w:rsidR="0077573F" w:rsidRDefault="0077573F" w:rsidP="0077573F">
      <w:pPr>
        <w:rPr>
          <w:rFonts w:ascii="標楷體" w:eastAsia="標楷體" w:hAnsi="標楷體"/>
        </w:rPr>
      </w:pPr>
    </w:p>
    <w:p w:rsidR="0077573F" w:rsidRDefault="0077573F" w:rsidP="0077573F">
      <w:pPr>
        <w:rPr>
          <w:rFonts w:ascii="標楷體" w:eastAsia="標楷體" w:hAnsi="標楷體"/>
        </w:rPr>
      </w:pPr>
    </w:p>
    <w:p w:rsidR="0077573F" w:rsidRDefault="0077573F" w:rsidP="0077573F">
      <w:pPr>
        <w:rPr>
          <w:rFonts w:ascii="標楷體" w:eastAsia="標楷體" w:hAnsi="標楷體"/>
        </w:rPr>
      </w:pPr>
    </w:p>
    <w:p w:rsidR="0077573F" w:rsidRDefault="0077573F" w:rsidP="0077573F">
      <w:pPr>
        <w:rPr>
          <w:rFonts w:ascii="標楷體" w:eastAsia="標楷體" w:hAnsi="標楷體"/>
        </w:rPr>
      </w:pPr>
    </w:p>
    <w:p w:rsidR="0077573F" w:rsidRDefault="0077573F" w:rsidP="0077573F">
      <w:pPr>
        <w:rPr>
          <w:rFonts w:ascii="標楷體" w:eastAsia="標楷體" w:hAnsi="標楷體"/>
        </w:rPr>
      </w:pPr>
    </w:p>
    <w:p w:rsidR="0077573F" w:rsidRPr="0077573F" w:rsidRDefault="0077573F" w:rsidP="0077573F">
      <w:pPr>
        <w:rPr>
          <w:rFonts w:ascii="標楷體" w:eastAsia="標楷體" w:hAnsi="標楷體"/>
        </w:rPr>
      </w:pPr>
    </w:p>
    <w:p w:rsidR="000870B8" w:rsidRDefault="000870B8" w:rsidP="000870B8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測試項目：</w:t>
      </w:r>
    </w:p>
    <w:p w:rsidR="000870B8" w:rsidRDefault="000870B8" w:rsidP="000870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儲存系統之效能測試，測試須符合以下標準，</w:t>
      </w:r>
      <w:r w:rsidRPr="00F05C83">
        <w:rPr>
          <w:rFonts w:ascii="標楷體" w:eastAsia="標楷體" w:hAnsi="標楷體" w:hint="eastAsia"/>
          <w:u w:val="single"/>
        </w:rPr>
        <w:t>若投標廠商違反規定，不得參與標案後續之程序</w:t>
      </w:r>
      <w:r w:rsidRPr="000870B8">
        <w:rPr>
          <w:rFonts w:ascii="標楷體" w:eastAsia="標楷體" w:hAnsi="標楷體" w:hint="eastAsia"/>
        </w:rPr>
        <w:t>：</w:t>
      </w:r>
    </w:p>
    <w:p w:rsidR="000870B8" w:rsidRDefault="000870B8" w:rsidP="000870B8">
      <w:pPr>
        <w:pStyle w:val="a7"/>
        <w:numPr>
          <w:ilvl w:val="0"/>
          <w:numId w:val="9"/>
        </w:numPr>
        <w:ind w:leftChars="0" w:left="1276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需準備一台實體伺服器(廠牌、型號、U數不限制)與此次投標的NAS設備</w:t>
      </w:r>
      <w:r>
        <w:rPr>
          <w:rFonts w:ascii="標楷體" w:eastAsia="標楷體" w:hAnsi="標楷體" w:hint="eastAsia"/>
        </w:rPr>
        <w:t>。</w:t>
      </w:r>
    </w:p>
    <w:p w:rsidR="000870B8" w:rsidRDefault="000870B8" w:rsidP="000870B8">
      <w:pPr>
        <w:pStyle w:val="a7"/>
        <w:numPr>
          <w:ilvl w:val="0"/>
          <w:numId w:val="9"/>
        </w:numPr>
        <w:ind w:leftChars="0" w:left="1276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在實體伺服器上啟動五個VM</w:t>
      </w:r>
      <w:r>
        <w:rPr>
          <w:rFonts w:ascii="標楷體" w:eastAsia="標楷體" w:hAnsi="標楷體" w:hint="eastAsia"/>
        </w:rPr>
        <w:t>系統</w:t>
      </w:r>
      <w:r w:rsidRPr="000870B8">
        <w:rPr>
          <w:rFonts w:ascii="標楷體" w:eastAsia="標楷體" w:hAnsi="標楷體" w:hint="eastAsia"/>
        </w:rPr>
        <w:t>，作業系統為Windows server 2012</w:t>
      </w:r>
      <w:r>
        <w:rPr>
          <w:rFonts w:ascii="標楷體" w:eastAsia="標楷體" w:hAnsi="標楷體" w:hint="eastAsia"/>
        </w:rPr>
        <w:t>。</w:t>
      </w:r>
    </w:p>
    <w:p w:rsidR="000870B8" w:rsidRPr="000870B8" w:rsidRDefault="000870B8" w:rsidP="000870B8">
      <w:pPr>
        <w:pStyle w:val="a7"/>
        <w:numPr>
          <w:ilvl w:val="0"/>
          <w:numId w:val="9"/>
        </w:numPr>
        <w:ind w:leftChars="0" w:left="1276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在每一個VM上個別執行 IOMeter, 參數如下：</w:t>
      </w:r>
    </w:p>
    <w:p w:rsidR="000870B8" w:rsidRPr="000870B8" w:rsidRDefault="000870B8" w:rsidP="00934F84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Worker數量: 1 即可</w:t>
      </w:r>
    </w:p>
    <w:p w:rsidR="000870B8" w:rsidRPr="000870B8" w:rsidRDefault="000870B8" w:rsidP="00934F84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Maximum sector size: 83886080</w:t>
      </w:r>
    </w:p>
    <w:p w:rsidR="000870B8" w:rsidRPr="000870B8" w:rsidRDefault="000870B8" w:rsidP="00934F84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/>
        </w:rPr>
        <w:t>Starting Disk sectors: 0</w:t>
      </w:r>
    </w:p>
    <w:p w:rsidR="000870B8" w:rsidRPr="000870B8" w:rsidRDefault="000870B8" w:rsidP="00934F84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Outstanding I/O 數量: 2</w:t>
      </w:r>
    </w:p>
    <w:p w:rsidR="000870B8" w:rsidRPr="000870B8" w:rsidRDefault="000870B8" w:rsidP="00934F84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Access spec這邊要測試的項目有</w:t>
      </w:r>
      <w:r w:rsidR="00934F84">
        <w:rPr>
          <w:rFonts w:ascii="標楷體" w:eastAsia="標楷體" w:hAnsi="標楷體" w:hint="eastAsia"/>
        </w:rPr>
        <w:t>(兩個項目可以自動</w:t>
      </w:r>
      <w:r w:rsidR="00934F84" w:rsidRPr="000870B8">
        <w:rPr>
          <w:rFonts w:ascii="標楷體" w:eastAsia="標楷體" w:hAnsi="標楷體" w:hint="eastAsia"/>
        </w:rPr>
        <w:t>依次進行測試</w:t>
      </w:r>
      <w:r w:rsidR="00934F84">
        <w:rPr>
          <w:rFonts w:ascii="標楷體" w:eastAsia="標楷體" w:hAnsi="標楷體" w:hint="eastAsia"/>
        </w:rPr>
        <w:t>)</w:t>
      </w:r>
      <w:r w:rsidRPr="000870B8">
        <w:rPr>
          <w:rFonts w:ascii="標楷體" w:eastAsia="標楷體" w:hAnsi="標楷體" w:hint="eastAsia"/>
        </w:rPr>
        <w:t>:</w:t>
      </w:r>
    </w:p>
    <w:p w:rsidR="000870B8" w:rsidRPr="000870B8" w:rsidRDefault="000870B8" w:rsidP="00934F84">
      <w:pPr>
        <w:pStyle w:val="a7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/>
        </w:rPr>
        <w:t>512k 100% read, 0% random</w:t>
      </w:r>
    </w:p>
    <w:p w:rsidR="000870B8" w:rsidRPr="000870B8" w:rsidRDefault="000870B8" w:rsidP="00934F84">
      <w:pPr>
        <w:pStyle w:val="a7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/>
        </w:rPr>
        <w:t>512k 100% write, 0% random</w:t>
      </w:r>
    </w:p>
    <w:p w:rsidR="000870B8" w:rsidRDefault="00934F84" w:rsidP="00934F84">
      <w:pPr>
        <w:pStyle w:val="a7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測試</w:t>
      </w:r>
      <w:r>
        <w:rPr>
          <w:rFonts w:ascii="標楷體" w:eastAsia="標楷體" w:hAnsi="標楷體" w:hint="eastAsia"/>
        </w:rPr>
        <w:t>時間</w:t>
      </w:r>
      <w:r w:rsidRPr="000870B8">
        <w:rPr>
          <w:rFonts w:ascii="標楷體" w:eastAsia="標楷體" w:hAnsi="標楷體" w:hint="eastAsia"/>
        </w:rPr>
        <w:t>個別</w:t>
      </w:r>
      <w:r>
        <w:rPr>
          <w:rFonts w:ascii="標楷體" w:eastAsia="標楷體" w:hAnsi="標楷體" w:hint="eastAsia"/>
        </w:rPr>
        <w:t>項目</w:t>
      </w:r>
      <w:r w:rsidR="00ED5568">
        <w:rPr>
          <w:rFonts w:ascii="標楷體" w:eastAsia="標楷體" w:hAnsi="標楷體" w:hint="eastAsia"/>
        </w:rPr>
        <w:t>至少持續</w:t>
      </w:r>
      <w:r w:rsidR="000870B8" w:rsidRPr="000870B8">
        <w:rPr>
          <w:rFonts w:ascii="標楷體" w:eastAsia="標楷體" w:hAnsi="標楷體" w:hint="eastAsia"/>
        </w:rPr>
        <w:t>30分鐘</w:t>
      </w:r>
      <w:r>
        <w:rPr>
          <w:rFonts w:ascii="標楷體" w:eastAsia="標楷體" w:hAnsi="標楷體" w:hint="eastAsia"/>
        </w:rPr>
        <w:t>，</w:t>
      </w:r>
      <w:r w:rsidR="00ED5568">
        <w:rPr>
          <w:rFonts w:ascii="標楷體" w:eastAsia="標楷體" w:hAnsi="標楷體" w:hint="eastAsia"/>
        </w:rPr>
        <w:t>於傳輸開始時計時，</w:t>
      </w:r>
      <w:r w:rsidR="00ED5568" w:rsidRPr="000870B8">
        <w:rPr>
          <w:rFonts w:ascii="標楷體" w:eastAsia="標楷體" w:hAnsi="標楷體" w:hint="eastAsia"/>
        </w:rPr>
        <w:t>30分鐘</w:t>
      </w:r>
      <w:r w:rsidR="00ED5568">
        <w:rPr>
          <w:rFonts w:ascii="標楷體" w:eastAsia="標楷體" w:hAnsi="標楷體" w:hint="eastAsia"/>
        </w:rPr>
        <w:t>後結束測試。</w:t>
      </w:r>
    </w:p>
    <w:p w:rsidR="008118A2" w:rsidRDefault="008118A2" w:rsidP="00934F84">
      <w:pPr>
        <w:pStyle w:val="a7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/>
        </w:rPr>
        <w:t>Read</w:t>
      </w:r>
      <w:r>
        <w:rPr>
          <w:rFonts w:ascii="標楷體" w:eastAsia="標楷體" w:hAnsi="標楷體" w:hint="eastAsia"/>
        </w:rPr>
        <w:t>、</w:t>
      </w:r>
      <w:r w:rsidRPr="000870B8">
        <w:rPr>
          <w:rFonts w:ascii="標楷體" w:eastAsia="標楷體" w:hAnsi="標楷體"/>
        </w:rPr>
        <w:t>write</w:t>
      </w:r>
      <w:r>
        <w:rPr>
          <w:rFonts w:ascii="標楷體" w:eastAsia="標楷體" w:hAnsi="標楷體" w:hint="eastAsia"/>
        </w:rPr>
        <w:t>兩個數值最小的一個必須達到700 MB/S，才可判定合格。</w:t>
      </w:r>
    </w:p>
    <w:p w:rsidR="000870B8" w:rsidRPr="000870B8" w:rsidRDefault="000870B8" w:rsidP="000870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870B8">
        <w:rPr>
          <w:rFonts w:ascii="標楷體" w:eastAsia="標楷體" w:hAnsi="標楷體" w:hint="eastAsia"/>
        </w:rPr>
        <w:t>控制器故障切換測試，測試須符合以下標準，</w:t>
      </w:r>
      <w:r w:rsidRPr="00F05C83">
        <w:rPr>
          <w:rFonts w:ascii="標楷體" w:eastAsia="標楷體" w:hAnsi="標楷體" w:hint="eastAsia"/>
          <w:u w:val="single"/>
        </w:rPr>
        <w:t>若投標廠商違反規定，不得參與標案後續之程序</w:t>
      </w:r>
      <w:r w:rsidRPr="000870B8">
        <w:rPr>
          <w:rFonts w:ascii="標楷體" w:eastAsia="標楷體" w:hAnsi="標楷體" w:hint="eastAsia"/>
        </w:rPr>
        <w:t>：</w:t>
      </w:r>
    </w:p>
    <w:p w:rsidR="00ED5568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現場隨意設定控制器內的</w:t>
      </w:r>
      <w:r w:rsidRPr="00ED5568">
        <w:rPr>
          <w:rFonts w:ascii="標楷體" w:eastAsia="標楷體" w:hAnsi="標楷體" w:hint="eastAsia"/>
        </w:rPr>
        <w:t>設定值與帳號權限</w:t>
      </w:r>
      <w:r>
        <w:rPr>
          <w:rFonts w:ascii="標楷體" w:eastAsia="標楷體" w:hAnsi="標楷體" w:hint="eastAsia"/>
        </w:rPr>
        <w:t>。</w:t>
      </w:r>
    </w:p>
    <w:p w:rsidR="00ED5568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設定後進行CONFIG的備份。</w:t>
      </w:r>
    </w:p>
    <w:p w:rsidR="00ED5568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CONFIG備份後，直接關閉控制器電源(電源燈熄滅後，開始碼表計時)。</w:t>
      </w:r>
    </w:p>
    <w:p w:rsidR="00ED5568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更換</w:t>
      </w:r>
      <w:r w:rsidR="00F05C83" w:rsidRPr="00F05C83">
        <w:rPr>
          <w:rFonts w:ascii="標楷體" w:eastAsia="標楷體" w:hAnsi="標楷體" w:hint="eastAsia"/>
        </w:rPr>
        <w:t>備援控制器</w:t>
      </w:r>
      <w:r>
        <w:rPr>
          <w:rFonts w:ascii="標楷體" w:eastAsia="標楷體" w:hAnsi="標楷體" w:hint="eastAsia"/>
        </w:rPr>
        <w:t>後，開啟</w:t>
      </w:r>
      <w:r w:rsidRPr="00F05C83">
        <w:rPr>
          <w:rFonts w:ascii="標楷體" w:eastAsia="標楷體" w:hAnsi="標楷體" w:hint="eastAsia"/>
        </w:rPr>
        <w:t>備援控制器</w:t>
      </w:r>
      <w:r>
        <w:rPr>
          <w:rFonts w:ascii="標楷體" w:eastAsia="標楷體" w:hAnsi="標楷體" w:hint="eastAsia"/>
        </w:rPr>
        <w:t>電源。</w:t>
      </w:r>
    </w:p>
    <w:p w:rsidR="00ED5568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開啟後設定CONFIG復原。</w:t>
      </w:r>
    </w:p>
    <w:p w:rsidR="00F05C83" w:rsidRDefault="00ED5568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確認備援控制器</w:t>
      </w:r>
      <w:r w:rsidR="00F05C83" w:rsidRPr="00ED5568">
        <w:rPr>
          <w:rFonts w:ascii="標楷體" w:eastAsia="標楷體" w:hAnsi="標楷體" w:hint="eastAsia"/>
        </w:rPr>
        <w:t>接手並完成系統正常運作（</w:t>
      </w:r>
      <w:r>
        <w:rPr>
          <w:rFonts w:ascii="標楷體" w:eastAsia="標楷體" w:hAnsi="標楷體" w:hint="eastAsia"/>
        </w:rPr>
        <w:t>比對</w:t>
      </w:r>
      <w:r w:rsidR="00F05C83" w:rsidRPr="00ED5568">
        <w:rPr>
          <w:rFonts w:ascii="標楷體" w:eastAsia="標楷體" w:hAnsi="標楷體" w:hint="eastAsia"/>
        </w:rPr>
        <w:t>原有設定值與帳號權限</w:t>
      </w:r>
      <w:r>
        <w:rPr>
          <w:rFonts w:ascii="標楷體" w:eastAsia="標楷體" w:hAnsi="標楷體" w:hint="eastAsia"/>
        </w:rPr>
        <w:t>，確認後停止碼表計時</w:t>
      </w:r>
      <w:r w:rsidR="00F05C83" w:rsidRPr="00ED5568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:rsidR="008118A2" w:rsidRDefault="008118A2" w:rsidP="00ED5568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備援控制器必須在10分鐘內接手並完成系統正常運作</w:t>
      </w:r>
      <w:r>
        <w:rPr>
          <w:rFonts w:ascii="標楷體" w:eastAsia="標楷體" w:hAnsi="標楷體" w:hint="eastAsia"/>
        </w:rPr>
        <w:t>，才可判定合格。</w:t>
      </w:r>
    </w:p>
    <w:p w:rsidR="0077573F" w:rsidRPr="00ED5568" w:rsidRDefault="0077573F" w:rsidP="0077573F">
      <w:pPr>
        <w:pStyle w:val="a7"/>
        <w:ind w:leftChars="0" w:left="1440"/>
        <w:rPr>
          <w:rFonts w:ascii="標楷體" w:eastAsia="標楷體" w:hAnsi="標楷體"/>
        </w:rPr>
      </w:pPr>
    </w:p>
    <w:p w:rsidR="00F05C83" w:rsidRPr="00F05C83" w:rsidRDefault="00F05C83" w:rsidP="00F05C83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評定標準</w:t>
      </w:r>
    </w:p>
    <w:p w:rsidR="00ED5568" w:rsidRDefault="00ED5568" w:rsidP="00F05C83">
      <w:pPr>
        <w:pStyle w:val="a7"/>
        <w:ind w:leftChars="0" w:left="632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不合格標準</w:t>
      </w:r>
      <w:r>
        <w:rPr>
          <w:rFonts w:ascii="標楷體" w:eastAsia="標楷體" w:hAnsi="標楷體" w:hint="eastAsia"/>
        </w:rPr>
        <w:t>：</w:t>
      </w:r>
      <w:r w:rsidRPr="00F05C83">
        <w:rPr>
          <w:rFonts w:ascii="標楷體" w:eastAsia="標楷體" w:hAnsi="標楷體" w:hint="eastAsia"/>
        </w:rPr>
        <w:t>所有測試項目(</w:t>
      </w:r>
      <w:r w:rsidR="00CE5DD1">
        <w:rPr>
          <w:rFonts w:ascii="標楷體" w:eastAsia="標楷體" w:hAnsi="標楷體" w:hint="eastAsia"/>
        </w:rPr>
        <w:t>不</w:t>
      </w:r>
      <w:r w:rsidRPr="00F05C83">
        <w:rPr>
          <w:rFonts w:ascii="標楷體" w:eastAsia="標楷體" w:hAnsi="標楷體" w:hint="eastAsia"/>
        </w:rPr>
        <w:t>含簡報說明)必須於</w:t>
      </w:r>
      <w:r w:rsidR="00CE5DD1">
        <w:rPr>
          <w:rFonts w:ascii="標楷體" w:eastAsia="標楷體" w:hAnsi="標楷體" w:hint="eastAsia"/>
        </w:rPr>
        <w:t>一個半</w:t>
      </w:r>
      <w:r w:rsidRPr="00F05C83">
        <w:rPr>
          <w:rFonts w:ascii="標楷體" w:eastAsia="標楷體" w:hAnsi="標楷體" w:hint="eastAsia"/>
        </w:rPr>
        <w:t>小時內完成。未於時限內完成測試，判定為不合格。</w:t>
      </w:r>
    </w:p>
    <w:p w:rsidR="0077573F" w:rsidRPr="0077573F" w:rsidRDefault="0077573F" w:rsidP="0077573F">
      <w:pPr>
        <w:rPr>
          <w:rFonts w:ascii="標楷體" w:eastAsia="標楷體" w:hAnsi="標楷體"/>
        </w:rPr>
      </w:pPr>
    </w:p>
    <w:p w:rsidR="00ED5568" w:rsidRDefault="00ED5568" w:rsidP="00ED5568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測試過程中不得修正，無法正常通過受測情境，判定為不合格。</w:t>
      </w:r>
    </w:p>
    <w:p w:rsidR="0077573F" w:rsidRPr="00F05C83" w:rsidRDefault="0077573F" w:rsidP="0077573F">
      <w:pPr>
        <w:pStyle w:val="a7"/>
        <w:widowControl/>
        <w:spacing w:line="440" w:lineRule="atLeast"/>
        <w:ind w:leftChars="0" w:left="632"/>
        <w:rPr>
          <w:rFonts w:ascii="標楷體" w:eastAsia="標楷體" w:hAnsi="標楷體"/>
        </w:rPr>
      </w:pPr>
    </w:p>
    <w:p w:rsidR="00F05C83" w:rsidRDefault="00F05C83" w:rsidP="00F05C83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各測試項目中如有一項不合格，判定為不合格。</w:t>
      </w:r>
    </w:p>
    <w:p w:rsidR="0077573F" w:rsidRPr="0077573F" w:rsidRDefault="0077573F" w:rsidP="0077573F">
      <w:pPr>
        <w:widowControl/>
        <w:spacing w:line="440" w:lineRule="atLeast"/>
        <w:rPr>
          <w:rFonts w:ascii="標楷體" w:eastAsia="標楷體" w:hAnsi="標楷體"/>
        </w:rPr>
      </w:pPr>
    </w:p>
    <w:p w:rsidR="0077573F" w:rsidRPr="0077573F" w:rsidRDefault="00F05C83" w:rsidP="0077573F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公視基金會於本測試案僅提供電源三插孔二路，其餘測試所需由投標廠商依投標之系統架構自行處理，無法處理即判定為不合格。除因上述公視基金會提供之資料有誤，投標廠商不得以任何理由要求重新測試、修正或評定。</w:t>
      </w:r>
    </w:p>
    <w:p w:rsidR="0077573F" w:rsidRPr="0077573F" w:rsidRDefault="0077573F" w:rsidP="0077573F">
      <w:pPr>
        <w:widowControl/>
        <w:spacing w:line="440" w:lineRule="atLeast"/>
        <w:rPr>
          <w:rFonts w:ascii="標楷體" w:eastAsia="標楷體" w:hAnsi="標楷體"/>
        </w:rPr>
      </w:pPr>
    </w:p>
    <w:p w:rsidR="0077573F" w:rsidRPr="0077573F" w:rsidRDefault="00F05C83" w:rsidP="0077573F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lastRenderedPageBreak/>
        <w:t>投標商應協同公視基金會測試人員完成所有測試項目，並做測試記錄，雙方並於測試記錄表上簽名以確認測試程序。</w:t>
      </w:r>
    </w:p>
    <w:p w:rsidR="00F05C83" w:rsidRDefault="00F05C83" w:rsidP="00F05C83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測試完成後，由公視基金會採購單位製發正式測試報告乙式兩份，一份由公視基金會存卷，另一份交投標廠商保存。該測試報告僅就送測標的物負責，不可作本案投標以外用途。</w:t>
      </w:r>
    </w:p>
    <w:p w:rsidR="0077573F" w:rsidRPr="0077573F" w:rsidRDefault="0077573F" w:rsidP="0077573F">
      <w:pPr>
        <w:widowControl/>
        <w:spacing w:line="440" w:lineRule="atLeast"/>
        <w:rPr>
          <w:rFonts w:ascii="標楷體" w:eastAsia="標楷體" w:hAnsi="標楷體"/>
        </w:rPr>
      </w:pPr>
    </w:p>
    <w:p w:rsidR="00FA1FA1" w:rsidRDefault="00F05C83" w:rsidP="008118A2">
      <w:pPr>
        <w:pStyle w:val="a7"/>
        <w:widowControl/>
        <w:numPr>
          <w:ilvl w:val="0"/>
          <w:numId w:val="6"/>
        </w:numPr>
        <w:spacing w:line="440" w:lineRule="atLeast"/>
        <w:ind w:leftChars="0"/>
        <w:rPr>
          <w:rFonts w:ascii="標楷體" w:eastAsia="標楷體" w:hAnsi="標楷體"/>
        </w:rPr>
      </w:pPr>
      <w:r w:rsidRPr="00F05C83">
        <w:rPr>
          <w:rFonts w:ascii="標楷體" w:eastAsia="標楷體" w:hAnsi="標楷體" w:hint="eastAsia"/>
        </w:rPr>
        <w:t>本規格說明如有任何語意不清或混淆處，廠商得請求釋疑或由公共電視文化事業基金會裁定之。</w:t>
      </w:r>
    </w:p>
    <w:p w:rsidR="008118A2" w:rsidRDefault="008118A2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8118A2" w:rsidRDefault="008118A2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77573F" w:rsidRDefault="0077573F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8118A2" w:rsidRDefault="008118A2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8118A2" w:rsidRDefault="008118A2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AB78E7" w:rsidRDefault="00AB78E7" w:rsidP="008118A2">
      <w:pPr>
        <w:widowControl/>
        <w:spacing w:line="440" w:lineRule="atLeast"/>
        <w:rPr>
          <w:rFonts w:ascii="標楷體" w:eastAsia="標楷體" w:hAnsi="標楷體"/>
        </w:rPr>
      </w:pPr>
    </w:p>
    <w:p w:rsidR="009004FD" w:rsidRPr="006313A9" w:rsidRDefault="009004FD" w:rsidP="009004FD">
      <w:pPr>
        <w:rPr>
          <w:rFonts w:ascii="標楷體" w:eastAsia="標楷體" w:hAnsi="標楷體"/>
        </w:rPr>
      </w:pPr>
      <w:r w:rsidRPr="00382667">
        <w:rPr>
          <w:rFonts w:ascii="標楷體" w:eastAsia="標楷體" w:hAnsi="標楷體" w:hint="eastAsia"/>
        </w:rPr>
        <w:t>附註條款附件</w:t>
      </w:r>
      <w:r>
        <w:rPr>
          <w:rFonts w:ascii="標楷體" w:eastAsia="標楷體" w:hAnsi="標楷體" w:hint="eastAsia"/>
        </w:rPr>
        <w:t>2</w:t>
      </w:r>
      <w:r w:rsidRPr="00494618">
        <w:rPr>
          <w:rFonts w:ascii="標楷體" w:eastAsia="標楷體" w:hAnsi="標楷體"/>
        </w:rPr>
        <w:t>-A</w:t>
      </w:r>
    </w:p>
    <w:p w:rsidR="009004FD" w:rsidRDefault="009004FD" w:rsidP="009004FD">
      <w:pPr>
        <w:rPr>
          <w:rFonts w:ascii="標楷體" w:eastAsia="標楷體" w:hAnsi="標楷體"/>
        </w:rPr>
      </w:pPr>
    </w:p>
    <w:p w:rsidR="00AB78E7" w:rsidRPr="006313A9" w:rsidRDefault="00AB78E7" w:rsidP="009004FD">
      <w:pPr>
        <w:rPr>
          <w:rFonts w:ascii="標楷體" w:eastAsia="標楷體" w:hAnsi="標楷體"/>
        </w:rPr>
      </w:pPr>
    </w:p>
    <w:p w:rsidR="009004FD" w:rsidRPr="006313A9" w:rsidRDefault="00A85ED3" w:rsidP="009004FD">
      <w:pPr>
        <w:ind w:left="480"/>
        <w:jc w:val="center"/>
        <w:rPr>
          <w:rFonts w:ascii="標楷體" w:eastAsia="標楷體" w:hAnsi="標楷體"/>
          <w:b/>
        </w:rPr>
      </w:pPr>
      <w:r w:rsidRPr="00A85ED3">
        <w:rPr>
          <w:rFonts w:ascii="標楷體" w:eastAsia="標楷體" w:hAnsi="標楷體" w:hint="eastAsia"/>
          <w:b/>
        </w:rPr>
        <w:t>片庫儲存設備</w:t>
      </w:r>
      <w:r>
        <w:rPr>
          <w:rFonts w:ascii="標楷體" w:eastAsia="標楷體" w:hAnsi="標楷體" w:hint="eastAsia"/>
          <w:b/>
        </w:rPr>
        <w:t>採</w:t>
      </w:r>
      <w:r w:rsidR="009004FD" w:rsidRPr="006313A9">
        <w:rPr>
          <w:rFonts w:ascii="標楷體" w:eastAsia="標楷體" w:hAnsi="標楷體" w:hint="eastAsia"/>
          <w:b/>
        </w:rPr>
        <w:t>購案實機測試</w:t>
      </w:r>
    </w:p>
    <w:p w:rsidR="009004FD" w:rsidRPr="006313A9" w:rsidRDefault="009004FD" w:rsidP="009004FD">
      <w:pPr>
        <w:ind w:left="480"/>
        <w:jc w:val="center"/>
        <w:rPr>
          <w:rFonts w:ascii="標楷體" w:eastAsia="標楷體" w:hAnsi="標楷體"/>
          <w:b/>
        </w:rPr>
      </w:pPr>
      <w:r w:rsidRPr="006313A9">
        <w:rPr>
          <w:rFonts w:ascii="標楷體" w:eastAsia="標楷體" w:hAnsi="標楷體" w:hint="eastAsia"/>
          <w:b/>
        </w:rPr>
        <w:t>投標廠商送測設備清單</w:t>
      </w:r>
    </w:p>
    <w:p w:rsidR="009004FD" w:rsidRPr="009004FD" w:rsidRDefault="009004FD" w:rsidP="009004FD">
      <w:pPr>
        <w:ind w:left="480"/>
        <w:rPr>
          <w:rFonts w:ascii="標楷體" w:eastAsia="標楷體" w:hAnsi="標楷體"/>
        </w:rPr>
      </w:pPr>
      <w:r w:rsidRPr="006313A9">
        <w:rPr>
          <w:rFonts w:ascii="標楷體" w:eastAsia="標楷體" w:hAnsi="標楷體" w:hint="eastAsia"/>
        </w:rPr>
        <w:t xml:space="preserve">投標廠商測試代表簽名：                                     </w:t>
      </w:r>
      <w:r>
        <w:rPr>
          <w:rFonts w:ascii="標楷體" w:eastAsia="標楷體" w:hAnsi="標楷體" w:hint="eastAsia"/>
        </w:rPr>
        <w:t xml:space="preserve">                               </w:t>
      </w:r>
    </w:p>
    <w:tbl>
      <w:tblPr>
        <w:tblStyle w:val="a8"/>
        <w:tblW w:w="9448" w:type="dxa"/>
        <w:jc w:val="center"/>
        <w:tblLook w:val="04A0" w:firstRow="1" w:lastRow="0" w:firstColumn="1" w:lastColumn="0" w:noHBand="0" w:noVBand="1"/>
      </w:tblPr>
      <w:tblGrid>
        <w:gridCol w:w="1272"/>
        <w:gridCol w:w="877"/>
        <w:gridCol w:w="877"/>
        <w:gridCol w:w="1357"/>
        <w:gridCol w:w="2014"/>
        <w:gridCol w:w="1541"/>
        <w:gridCol w:w="1510"/>
      </w:tblGrid>
      <w:tr w:rsidR="009004FD" w:rsidRPr="000870B8" w:rsidTr="000870B8">
        <w:trPr>
          <w:trHeight w:val="319"/>
          <w:jc w:val="center"/>
        </w:trPr>
        <w:tc>
          <w:tcPr>
            <w:tcW w:w="1272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設備名稱</w:t>
            </w:r>
          </w:p>
        </w:tc>
        <w:tc>
          <w:tcPr>
            <w:tcW w:w="877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廠牌</w:t>
            </w:r>
          </w:p>
        </w:tc>
        <w:tc>
          <w:tcPr>
            <w:tcW w:w="877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型號</w:t>
            </w:r>
          </w:p>
        </w:tc>
        <w:tc>
          <w:tcPr>
            <w:tcW w:w="1357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作業系統</w:t>
            </w:r>
          </w:p>
        </w:tc>
        <w:tc>
          <w:tcPr>
            <w:tcW w:w="2014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RAM</w:t>
            </w:r>
          </w:p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(數量條、容量)</w:t>
            </w:r>
          </w:p>
        </w:tc>
        <w:tc>
          <w:tcPr>
            <w:tcW w:w="1541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光纖PORT</w:t>
            </w:r>
            <w:r w:rsidR="000870B8">
              <w:rPr>
                <w:rFonts w:ascii="標楷體" w:eastAsia="標楷體" w:hAnsi="標楷體"/>
                <w:b/>
                <w:sz w:val="22"/>
              </w:rPr>
              <w:br/>
            </w:r>
            <w:r w:rsidRPr="000870B8">
              <w:rPr>
                <w:rFonts w:ascii="標楷體" w:eastAsia="標楷體" w:hAnsi="標楷體" w:hint="eastAsia"/>
                <w:b/>
                <w:sz w:val="22"/>
              </w:rPr>
              <w:t>規格</w:t>
            </w:r>
          </w:p>
        </w:tc>
        <w:tc>
          <w:tcPr>
            <w:tcW w:w="1510" w:type="dxa"/>
            <w:shd w:val="clear" w:color="auto" w:fill="E7E6E6" w:themeFill="background2"/>
            <w:vAlign w:val="center"/>
          </w:tcPr>
          <w:p w:rsidR="009004FD" w:rsidRPr="000870B8" w:rsidRDefault="009004FD" w:rsidP="009004F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870B8">
              <w:rPr>
                <w:rFonts w:ascii="標楷體" w:eastAsia="標楷體" w:hAnsi="標楷體" w:hint="eastAsia"/>
                <w:b/>
                <w:sz w:val="22"/>
              </w:rPr>
              <w:t>備註/功能說明/規格條款</w:t>
            </w: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0870B8" w:rsidTr="000870B8">
        <w:trPr>
          <w:jc w:val="center"/>
        </w:trPr>
        <w:tc>
          <w:tcPr>
            <w:tcW w:w="1272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4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1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0" w:type="dxa"/>
          </w:tcPr>
          <w:p w:rsidR="009004FD" w:rsidRDefault="009004FD" w:rsidP="003B06F1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004FD" w:rsidRDefault="009004FD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9B3144" w:rsidRDefault="009B3144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9B3144" w:rsidRDefault="009B3144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9B3144" w:rsidRDefault="009B3144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8118A2" w:rsidRDefault="008118A2" w:rsidP="003B06F1">
      <w:pPr>
        <w:widowControl/>
        <w:spacing w:line="440" w:lineRule="atLeast"/>
        <w:ind w:leftChars="400" w:left="960"/>
        <w:rPr>
          <w:rFonts w:ascii="標楷體" w:eastAsia="標楷體" w:hAnsi="標楷體"/>
          <w:color w:val="000000"/>
        </w:rPr>
      </w:pPr>
    </w:p>
    <w:p w:rsidR="009B3144" w:rsidRPr="006313A9" w:rsidRDefault="009B3144" w:rsidP="009B3144">
      <w:pPr>
        <w:rPr>
          <w:rFonts w:ascii="標楷體" w:eastAsia="標楷體" w:hAnsi="標楷體"/>
        </w:rPr>
      </w:pPr>
      <w:r w:rsidRPr="00382667">
        <w:rPr>
          <w:rFonts w:ascii="標楷體" w:eastAsia="標楷體" w:hAnsi="標楷體" w:hint="eastAsia"/>
        </w:rPr>
        <w:t>附註條款附件</w:t>
      </w:r>
      <w:r>
        <w:rPr>
          <w:rFonts w:ascii="標楷體" w:eastAsia="標楷體" w:hAnsi="標楷體" w:hint="eastAsia"/>
        </w:rPr>
        <w:t>2</w:t>
      </w:r>
      <w:r w:rsidRPr="00494618">
        <w:rPr>
          <w:rFonts w:ascii="標楷體" w:eastAsia="標楷體" w:hAnsi="標楷體"/>
        </w:rPr>
        <w:t>-B</w:t>
      </w:r>
    </w:p>
    <w:p w:rsidR="009B3144" w:rsidRPr="006313A9" w:rsidRDefault="009B3144" w:rsidP="009B3144">
      <w:pPr>
        <w:rPr>
          <w:rFonts w:ascii="標楷體" w:eastAsia="標楷體" w:hAnsi="標楷體"/>
        </w:rPr>
      </w:pPr>
    </w:p>
    <w:p w:rsidR="009B3144" w:rsidRPr="006313A9" w:rsidRDefault="009B3144" w:rsidP="009B3144">
      <w:pPr>
        <w:rPr>
          <w:rFonts w:ascii="標楷體" w:eastAsia="標楷體" w:hAnsi="標楷體"/>
        </w:rPr>
      </w:pPr>
    </w:p>
    <w:p w:rsidR="009B3144" w:rsidRPr="006313A9" w:rsidRDefault="00A85ED3" w:rsidP="00A85ED3">
      <w:pPr>
        <w:ind w:left="480"/>
        <w:jc w:val="center"/>
        <w:rPr>
          <w:rFonts w:ascii="標楷體" w:eastAsia="標楷體" w:hAnsi="標楷體"/>
          <w:b/>
        </w:rPr>
      </w:pPr>
      <w:r w:rsidRPr="00A85ED3">
        <w:rPr>
          <w:rFonts w:ascii="標楷體" w:eastAsia="標楷體" w:hAnsi="標楷體" w:hint="eastAsia"/>
          <w:b/>
        </w:rPr>
        <w:t>片庫儲存設備</w:t>
      </w:r>
      <w:r>
        <w:rPr>
          <w:rFonts w:ascii="標楷體" w:eastAsia="標楷體" w:hAnsi="標楷體" w:hint="eastAsia"/>
          <w:b/>
        </w:rPr>
        <w:t>採</w:t>
      </w:r>
      <w:r w:rsidRPr="006313A9">
        <w:rPr>
          <w:rFonts w:ascii="標楷體" w:eastAsia="標楷體" w:hAnsi="標楷體" w:hint="eastAsia"/>
          <w:b/>
        </w:rPr>
        <w:t>購案實機測試</w:t>
      </w:r>
      <w:r w:rsidR="009B3144" w:rsidRPr="006313A9">
        <w:rPr>
          <w:rFonts w:ascii="標楷體" w:eastAsia="標楷體" w:hAnsi="標楷體" w:hint="eastAsia"/>
          <w:b/>
        </w:rPr>
        <w:t>記錄</w:t>
      </w:r>
      <w:r w:rsidR="009B3144" w:rsidRPr="00494618">
        <w:rPr>
          <w:rFonts w:ascii="標楷體" w:eastAsia="標楷體" w:hAnsi="標楷體" w:hint="eastAsia"/>
          <w:b/>
        </w:rPr>
        <w:t>表</w:t>
      </w:r>
    </w:p>
    <w:p w:rsidR="009B3144" w:rsidRPr="006313A9" w:rsidRDefault="009B3144" w:rsidP="009B3144">
      <w:pPr>
        <w:rPr>
          <w:rFonts w:ascii="標楷體" w:eastAsia="標楷體" w:hAnsi="標楷體"/>
        </w:rPr>
      </w:pPr>
      <w:r w:rsidRPr="006313A9">
        <w:rPr>
          <w:rFonts w:ascii="標楷體" w:eastAsia="標楷體" w:hAnsi="標楷體" w:hint="eastAsia"/>
        </w:rPr>
        <w:t>投標廠商代表：</w:t>
      </w:r>
    </w:p>
    <w:p w:rsidR="009B3144" w:rsidRPr="006313A9" w:rsidRDefault="009B3144" w:rsidP="009B3144">
      <w:pPr>
        <w:rPr>
          <w:rFonts w:ascii="標楷體" w:eastAsia="標楷體" w:hAnsi="標楷體"/>
        </w:rPr>
      </w:pPr>
      <w:r w:rsidRPr="006313A9">
        <w:rPr>
          <w:rFonts w:ascii="標楷體" w:eastAsia="標楷體" w:hAnsi="標楷體" w:hint="eastAsia"/>
        </w:rPr>
        <w:t>投標廠商測試人員：</w:t>
      </w:r>
    </w:p>
    <w:p w:rsidR="009B3144" w:rsidRPr="006313A9" w:rsidRDefault="009B3144" w:rsidP="009B3144">
      <w:pPr>
        <w:rPr>
          <w:rFonts w:ascii="標楷體" w:eastAsia="標楷體" w:hAnsi="標楷體"/>
        </w:rPr>
      </w:pPr>
    </w:p>
    <w:p w:rsidR="009B3144" w:rsidRPr="006313A9" w:rsidRDefault="009B3144" w:rsidP="009B3144">
      <w:pPr>
        <w:rPr>
          <w:rFonts w:ascii="標楷體" w:eastAsia="標楷體" w:hAnsi="標楷體"/>
        </w:rPr>
      </w:pPr>
      <w:r w:rsidRPr="006313A9">
        <w:rPr>
          <w:rFonts w:ascii="標楷體" w:eastAsia="標楷體" w:hAnsi="標楷體" w:hint="eastAsia"/>
        </w:rPr>
        <w:t>公視基金會監測人員：</w:t>
      </w:r>
    </w:p>
    <w:p w:rsidR="009B3144" w:rsidRPr="006313A9" w:rsidRDefault="009B3144" w:rsidP="009B3144">
      <w:pPr>
        <w:jc w:val="right"/>
        <w:rPr>
          <w:rFonts w:ascii="標楷體" w:eastAsia="標楷體" w:hAnsi="標楷體"/>
        </w:rPr>
      </w:pPr>
      <w:r w:rsidRPr="006313A9">
        <w:rPr>
          <w:rFonts w:ascii="標楷體" w:eastAsia="標楷體" w:hAnsi="標楷體" w:hint="eastAsia"/>
        </w:rPr>
        <w:t>日期：  年   月   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2628"/>
        <w:gridCol w:w="2410"/>
        <w:gridCol w:w="1597"/>
        <w:gridCol w:w="2513"/>
      </w:tblGrid>
      <w:tr w:rsidR="009B3144" w:rsidTr="009B3144">
        <w:trPr>
          <w:jc w:val="center"/>
        </w:trPr>
        <w:tc>
          <w:tcPr>
            <w:tcW w:w="1289" w:type="dxa"/>
            <w:vMerge w:val="restart"/>
            <w:shd w:val="clear" w:color="auto" w:fill="E7E6E6" w:themeFill="background2"/>
            <w:vAlign w:val="center"/>
          </w:tcPr>
          <w:p w:rsidR="009B3144" w:rsidRDefault="009B3144" w:rsidP="009B31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測試編號</w:t>
            </w:r>
          </w:p>
        </w:tc>
        <w:tc>
          <w:tcPr>
            <w:tcW w:w="2628" w:type="dxa"/>
            <w:vMerge w:val="restart"/>
            <w:shd w:val="clear" w:color="auto" w:fill="E7E6E6" w:themeFill="background2"/>
            <w:vAlign w:val="center"/>
          </w:tcPr>
          <w:p w:rsidR="009B3144" w:rsidRDefault="009B3144" w:rsidP="009B3144">
            <w:pPr>
              <w:widowControl/>
              <w:spacing w:line="4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測試項目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:rsidR="009B3144" w:rsidRDefault="009B3144" w:rsidP="009B3144">
            <w:pPr>
              <w:widowControl/>
              <w:spacing w:line="4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測試內容</w:t>
            </w:r>
          </w:p>
        </w:tc>
        <w:tc>
          <w:tcPr>
            <w:tcW w:w="4110" w:type="dxa"/>
            <w:gridSpan w:val="2"/>
            <w:shd w:val="clear" w:color="auto" w:fill="E7E6E6" w:themeFill="background2"/>
            <w:vAlign w:val="center"/>
          </w:tcPr>
          <w:p w:rsidR="009B3144" w:rsidRDefault="009B3144" w:rsidP="009B3144">
            <w:pPr>
              <w:widowControl/>
              <w:spacing w:line="4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測試結果</w:t>
            </w:r>
          </w:p>
        </w:tc>
      </w:tr>
      <w:tr w:rsidR="009B3144" w:rsidTr="009B3144">
        <w:trPr>
          <w:jc w:val="center"/>
        </w:trPr>
        <w:tc>
          <w:tcPr>
            <w:tcW w:w="1289" w:type="dxa"/>
            <w:vMerge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8" w:type="dxa"/>
            <w:vMerge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Merge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7" w:type="dxa"/>
            <w:shd w:val="clear" w:color="auto" w:fill="E7E6E6" w:themeFill="background2"/>
            <w:vAlign w:val="center"/>
          </w:tcPr>
          <w:p w:rsidR="009B3144" w:rsidRDefault="009B3144" w:rsidP="009B3144">
            <w:pPr>
              <w:widowControl/>
              <w:spacing w:line="4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合格/不合格</w:t>
            </w:r>
          </w:p>
        </w:tc>
        <w:tc>
          <w:tcPr>
            <w:tcW w:w="2513" w:type="dxa"/>
            <w:shd w:val="clear" w:color="auto" w:fill="E7E6E6" w:themeFill="background2"/>
            <w:vAlign w:val="center"/>
          </w:tcPr>
          <w:p w:rsidR="009B3144" w:rsidRDefault="009B3144" w:rsidP="009B3144">
            <w:pPr>
              <w:widowControl/>
              <w:spacing w:line="4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313A9">
              <w:rPr>
                <w:rFonts w:ascii="標楷體" w:eastAsia="標楷體" w:hAnsi="標楷體" w:hint="eastAsia"/>
                <w:b/>
              </w:rPr>
              <w:t>不合格原因</w:t>
            </w:r>
          </w:p>
        </w:tc>
      </w:tr>
      <w:tr w:rsidR="009B3144" w:rsidTr="009B3144">
        <w:trPr>
          <w:jc w:val="center"/>
        </w:trPr>
        <w:tc>
          <w:tcPr>
            <w:tcW w:w="1289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8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7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3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3144" w:rsidTr="009B3144">
        <w:trPr>
          <w:jc w:val="center"/>
        </w:trPr>
        <w:tc>
          <w:tcPr>
            <w:tcW w:w="1289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8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7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3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3144" w:rsidTr="009B3144">
        <w:trPr>
          <w:jc w:val="center"/>
        </w:trPr>
        <w:tc>
          <w:tcPr>
            <w:tcW w:w="1289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8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7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3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3144" w:rsidTr="009B3144">
        <w:trPr>
          <w:jc w:val="center"/>
        </w:trPr>
        <w:tc>
          <w:tcPr>
            <w:tcW w:w="1289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8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7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3" w:type="dxa"/>
          </w:tcPr>
          <w:p w:rsidR="009B3144" w:rsidRDefault="009B3144" w:rsidP="009B3144">
            <w:pPr>
              <w:widowControl/>
              <w:spacing w:line="4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B3144" w:rsidRPr="009B3144" w:rsidRDefault="009B3144" w:rsidP="009B3144">
      <w:pPr>
        <w:widowControl/>
        <w:spacing w:line="440" w:lineRule="atLeast"/>
        <w:rPr>
          <w:rFonts w:ascii="標楷體" w:eastAsia="標楷體" w:hAnsi="標楷體"/>
          <w:color w:val="000000"/>
        </w:rPr>
      </w:pPr>
    </w:p>
    <w:sectPr w:rsidR="009B3144" w:rsidRPr="009B3144" w:rsidSect="000870B8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A9" w:rsidRDefault="00216FA9" w:rsidP="00475B2F">
      <w:r>
        <w:separator/>
      </w:r>
    </w:p>
  </w:endnote>
  <w:endnote w:type="continuationSeparator" w:id="0">
    <w:p w:rsidR="00216FA9" w:rsidRDefault="00216FA9" w:rsidP="0047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A9" w:rsidRDefault="00216FA9" w:rsidP="00475B2F">
      <w:r>
        <w:separator/>
      </w:r>
    </w:p>
  </w:footnote>
  <w:footnote w:type="continuationSeparator" w:id="0">
    <w:p w:rsidR="00216FA9" w:rsidRDefault="00216FA9" w:rsidP="0047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DBA"/>
    <w:multiLevelType w:val="hybridMultilevel"/>
    <w:tmpl w:val="6BDA20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05C81E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9F3273"/>
    <w:multiLevelType w:val="hybridMultilevel"/>
    <w:tmpl w:val="409E76D8"/>
    <w:lvl w:ilvl="0" w:tplc="11066C10">
      <w:start w:val="1"/>
      <w:numFmt w:val="decimal"/>
      <w:lvlText w:val="(%1)"/>
      <w:lvlJc w:val="left"/>
      <w:pPr>
        <w:ind w:left="111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2" w:hanging="480"/>
      </w:pPr>
    </w:lvl>
    <w:lvl w:ilvl="2" w:tplc="0409001B" w:tentative="1">
      <w:start w:val="1"/>
      <w:numFmt w:val="lowerRoman"/>
      <w:lvlText w:val="%3."/>
      <w:lvlJc w:val="right"/>
      <w:pPr>
        <w:ind w:left="2072" w:hanging="480"/>
      </w:pPr>
    </w:lvl>
    <w:lvl w:ilvl="3" w:tplc="0409000F" w:tentative="1">
      <w:start w:val="1"/>
      <w:numFmt w:val="decimal"/>
      <w:lvlText w:val="%4."/>
      <w:lvlJc w:val="left"/>
      <w:pPr>
        <w:ind w:left="25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2" w:hanging="480"/>
      </w:pPr>
    </w:lvl>
    <w:lvl w:ilvl="5" w:tplc="0409001B" w:tentative="1">
      <w:start w:val="1"/>
      <w:numFmt w:val="lowerRoman"/>
      <w:lvlText w:val="%6."/>
      <w:lvlJc w:val="right"/>
      <w:pPr>
        <w:ind w:left="3512" w:hanging="480"/>
      </w:pPr>
    </w:lvl>
    <w:lvl w:ilvl="6" w:tplc="0409000F" w:tentative="1">
      <w:start w:val="1"/>
      <w:numFmt w:val="decimal"/>
      <w:lvlText w:val="%7."/>
      <w:lvlJc w:val="left"/>
      <w:pPr>
        <w:ind w:left="39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2" w:hanging="480"/>
      </w:pPr>
    </w:lvl>
    <w:lvl w:ilvl="8" w:tplc="0409001B" w:tentative="1">
      <w:start w:val="1"/>
      <w:numFmt w:val="lowerRoman"/>
      <w:lvlText w:val="%9."/>
      <w:lvlJc w:val="right"/>
      <w:pPr>
        <w:ind w:left="4952" w:hanging="480"/>
      </w:pPr>
    </w:lvl>
  </w:abstractNum>
  <w:abstractNum w:abstractNumId="2" w15:restartNumberingAfterBreak="0">
    <w:nsid w:val="2E164FE9"/>
    <w:multiLevelType w:val="hybridMultilevel"/>
    <w:tmpl w:val="7C08BCB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3C66CFA"/>
    <w:multiLevelType w:val="hybridMultilevel"/>
    <w:tmpl w:val="855E0240"/>
    <w:lvl w:ilvl="0" w:tplc="88968DEE">
      <w:start w:val="1"/>
      <w:numFmt w:val="bullet"/>
      <w:pStyle w:val="X"/>
      <w:lvlText w:val=""/>
      <w:lvlJc w:val="left"/>
      <w:pPr>
        <w:ind w:left="880" w:hanging="480"/>
      </w:pPr>
      <w:rPr>
        <w:rFonts w:ascii="Wingdings" w:hAnsi="Wingdings" w:hint="default"/>
      </w:rPr>
    </w:lvl>
    <w:lvl w:ilvl="1" w:tplc="04090003">
      <w:start w:val="1"/>
      <w:numFmt w:val="bullet"/>
      <w:pStyle w:val="XX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4" w15:restartNumberingAfterBreak="0">
    <w:nsid w:val="38275F6C"/>
    <w:multiLevelType w:val="hybridMultilevel"/>
    <w:tmpl w:val="6BDA20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05C81E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95640E"/>
    <w:multiLevelType w:val="hybridMultilevel"/>
    <w:tmpl w:val="8DC062E4"/>
    <w:lvl w:ilvl="0" w:tplc="04090001">
      <w:start w:val="1"/>
      <w:numFmt w:val="bullet"/>
      <w:lvlText w:val=""/>
      <w:lvlJc w:val="left"/>
      <w:pPr>
        <w:ind w:left="11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80"/>
      </w:pPr>
      <w:rPr>
        <w:rFonts w:ascii="Wingdings" w:hAnsi="Wingdings" w:hint="default"/>
      </w:rPr>
    </w:lvl>
  </w:abstractNum>
  <w:abstractNum w:abstractNumId="6" w15:restartNumberingAfterBreak="0">
    <w:nsid w:val="5B365D4A"/>
    <w:multiLevelType w:val="hybridMultilevel"/>
    <w:tmpl w:val="8E48E648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3DD5C82"/>
    <w:multiLevelType w:val="hybridMultilevel"/>
    <w:tmpl w:val="6BDA20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05C81E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CA369B1"/>
    <w:multiLevelType w:val="hybridMultilevel"/>
    <w:tmpl w:val="E592BDCC"/>
    <w:lvl w:ilvl="0" w:tplc="0409000F">
      <w:start w:val="1"/>
      <w:numFmt w:val="decimal"/>
      <w:lvlText w:val="%1."/>
      <w:lvlJc w:val="left"/>
      <w:pPr>
        <w:ind w:left="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9" w15:restartNumberingAfterBreak="0">
    <w:nsid w:val="7796195F"/>
    <w:multiLevelType w:val="hybridMultilevel"/>
    <w:tmpl w:val="1702054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" w15:restartNumberingAfterBreak="0">
    <w:nsid w:val="779F723A"/>
    <w:multiLevelType w:val="hybridMultilevel"/>
    <w:tmpl w:val="563EF258"/>
    <w:lvl w:ilvl="0" w:tplc="04090011">
      <w:start w:val="1"/>
      <w:numFmt w:val="upperLetter"/>
      <w:lvlText w:val="%1."/>
      <w:lvlJc w:val="left"/>
      <w:pPr>
        <w:ind w:left="1613" w:hanging="480"/>
      </w:pPr>
    </w:lvl>
    <w:lvl w:ilvl="1" w:tplc="04090001">
      <w:start w:val="1"/>
      <w:numFmt w:val="bullet"/>
      <w:lvlText w:val=""/>
      <w:lvlJc w:val="left"/>
      <w:pPr>
        <w:ind w:left="2093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1" w15:restartNumberingAfterBreak="0">
    <w:nsid w:val="78F77E10"/>
    <w:multiLevelType w:val="hybridMultilevel"/>
    <w:tmpl w:val="6BDA20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405C81E6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Dp20JxISPdnhbc+BrTL00PSTR+qXx85GNkOe84UAq8GBkIutLszU8Ncn07qGUqxcsvpXpfJ+NTkB2SNIquwddg==" w:salt="c+cnRCR1TnLtktcpolbI3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3A4"/>
    <w:rsid w:val="00067C9E"/>
    <w:rsid w:val="000870B8"/>
    <w:rsid w:val="00094199"/>
    <w:rsid w:val="00105371"/>
    <w:rsid w:val="001F7A38"/>
    <w:rsid w:val="00216FA9"/>
    <w:rsid w:val="00223D35"/>
    <w:rsid w:val="002B265B"/>
    <w:rsid w:val="002C2D31"/>
    <w:rsid w:val="00363EDB"/>
    <w:rsid w:val="003B06F1"/>
    <w:rsid w:val="003F742E"/>
    <w:rsid w:val="004416B0"/>
    <w:rsid w:val="00465F17"/>
    <w:rsid w:val="00475B2F"/>
    <w:rsid w:val="00494024"/>
    <w:rsid w:val="004E3F96"/>
    <w:rsid w:val="004F30B4"/>
    <w:rsid w:val="005353A4"/>
    <w:rsid w:val="00574204"/>
    <w:rsid w:val="005949D1"/>
    <w:rsid w:val="00677BEB"/>
    <w:rsid w:val="00696D87"/>
    <w:rsid w:val="006D4DC3"/>
    <w:rsid w:val="007519EC"/>
    <w:rsid w:val="0077573F"/>
    <w:rsid w:val="00793B95"/>
    <w:rsid w:val="007A280F"/>
    <w:rsid w:val="008118A2"/>
    <w:rsid w:val="0081721E"/>
    <w:rsid w:val="00831693"/>
    <w:rsid w:val="00846E3A"/>
    <w:rsid w:val="00887870"/>
    <w:rsid w:val="008E632A"/>
    <w:rsid w:val="009004FD"/>
    <w:rsid w:val="00912AB8"/>
    <w:rsid w:val="00934F84"/>
    <w:rsid w:val="00970655"/>
    <w:rsid w:val="009B3144"/>
    <w:rsid w:val="009B3266"/>
    <w:rsid w:val="009F0505"/>
    <w:rsid w:val="00A204D8"/>
    <w:rsid w:val="00A222B5"/>
    <w:rsid w:val="00A47DBF"/>
    <w:rsid w:val="00A81798"/>
    <w:rsid w:val="00A85ED3"/>
    <w:rsid w:val="00A90E99"/>
    <w:rsid w:val="00AB78E7"/>
    <w:rsid w:val="00AC127C"/>
    <w:rsid w:val="00AF7A33"/>
    <w:rsid w:val="00BD3164"/>
    <w:rsid w:val="00C73A07"/>
    <w:rsid w:val="00CB7A26"/>
    <w:rsid w:val="00CC2533"/>
    <w:rsid w:val="00CD5E38"/>
    <w:rsid w:val="00CE5DD1"/>
    <w:rsid w:val="00D136E4"/>
    <w:rsid w:val="00D22536"/>
    <w:rsid w:val="00D2446E"/>
    <w:rsid w:val="00D40BC2"/>
    <w:rsid w:val="00D753A8"/>
    <w:rsid w:val="00E3049A"/>
    <w:rsid w:val="00E44AC9"/>
    <w:rsid w:val="00E90523"/>
    <w:rsid w:val="00ED5568"/>
    <w:rsid w:val="00F05C83"/>
    <w:rsid w:val="00F0760C"/>
    <w:rsid w:val="00F206A3"/>
    <w:rsid w:val="00F230F4"/>
    <w:rsid w:val="00F75B82"/>
    <w:rsid w:val="00FA1FA1"/>
    <w:rsid w:val="00FB36C2"/>
    <w:rsid w:val="00FC60B2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BCA70BE-4250-43E7-9436-2144E693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B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B2F"/>
    <w:rPr>
      <w:sz w:val="20"/>
      <w:szCs w:val="20"/>
    </w:rPr>
  </w:style>
  <w:style w:type="paragraph" w:customStyle="1" w:styleId="X">
    <w:name w:val="X.*"/>
    <w:basedOn w:val="a7"/>
    <w:qFormat/>
    <w:rsid w:val="007519EC"/>
    <w:pPr>
      <w:numPr>
        <w:numId w:val="2"/>
      </w:numPr>
      <w:ind w:leftChars="0" w:left="0"/>
    </w:pPr>
    <w:rPr>
      <w:rFonts w:asciiTheme="minorHAnsi" w:eastAsiaTheme="minorEastAsia" w:hAnsiTheme="minorHAnsi" w:cstheme="minorBidi"/>
      <w:szCs w:val="22"/>
    </w:rPr>
  </w:style>
  <w:style w:type="paragraph" w:customStyle="1" w:styleId="XX">
    <w:name w:val="X.X.*"/>
    <w:basedOn w:val="X"/>
    <w:link w:val="XX0"/>
    <w:qFormat/>
    <w:rsid w:val="007519EC"/>
    <w:pPr>
      <w:numPr>
        <w:ilvl w:val="1"/>
      </w:numPr>
    </w:pPr>
  </w:style>
  <w:style w:type="character" w:customStyle="1" w:styleId="XX0">
    <w:name w:val="X.X.* 字元"/>
    <w:basedOn w:val="a0"/>
    <w:link w:val="XX"/>
    <w:rsid w:val="007519EC"/>
  </w:style>
  <w:style w:type="paragraph" w:styleId="a7">
    <w:name w:val="List Paragraph"/>
    <w:basedOn w:val="a"/>
    <w:uiPriority w:val="34"/>
    <w:qFormat/>
    <w:rsid w:val="007519EC"/>
    <w:pPr>
      <w:ind w:leftChars="200" w:left="480"/>
    </w:pPr>
  </w:style>
  <w:style w:type="table" w:styleId="a8">
    <w:name w:val="Table Grid"/>
    <w:basedOn w:val="a1"/>
    <w:uiPriority w:val="39"/>
    <w:rsid w:val="0090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502</Words>
  <Characters>2862</Characters>
  <Application>Microsoft Office Word</Application>
  <DocSecurity>8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洪英哲</dc:creator>
  <cp:keywords/>
  <dc:description/>
  <cp:lastModifiedBy>洪英哲</cp:lastModifiedBy>
  <cp:revision>19</cp:revision>
  <dcterms:created xsi:type="dcterms:W3CDTF">2016-10-06T08:36:00Z</dcterms:created>
  <dcterms:modified xsi:type="dcterms:W3CDTF">2016-11-29T05:48:00Z</dcterms:modified>
</cp:coreProperties>
</file>